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678D" w14:textId="081895B3" w:rsidR="0015672F" w:rsidRDefault="00981579">
      <w:pPr>
        <w:rPr>
          <w:rFonts w:cstheme="minorHAnsi"/>
          <w:b/>
        </w:rPr>
      </w:pPr>
      <w:r>
        <w:rPr>
          <w:noProof/>
        </w:rPr>
        <w:drawing>
          <wp:anchor distT="0" distB="0" distL="114300" distR="114300" simplePos="0" relativeHeight="251659264" behindDoc="1" locked="0" layoutInCell="1" allowOverlap="1" wp14:anchorId="3233B4EB" wp14:editId="51A052D5">
            <wp:simplePos x="0" y="0"/>
            <wp:positionH relativeFrom="page">
              <wp:align>left</wp:align>
            </wp:positionH>
            <wp:positionV relativeFrom="paragraph">
              <wp:posOffset>-922352</wp:posOffset>
            </wp:positionV>
            <wp:extent cx="7753341" cy="10686553"/>
            <wp:effectExtent l="0" t="0" r="635" b="635"/>
            <wp:wrapNone/>
            <wp:docPr id="25928590" name="Picture 1" descr="A green and yellow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8590" name="Picture 1" descr="A green and yellow rectangular objec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8757" cy="10694019"/>
                    </a:xfrm>
                    <a:prstGeom prst="rect">
                      <a:avLst/>
                    </a:prstGeom>
                  </pic:spPr>
                </pic:pic>
              </a:graphicData>
            </a:graphic>
            <wp14:sizeRelH relativeFrom="margin">
              <wp14:pctWidth>0</wp14:pctWidth>
            </wp14:sizeRelH>
            <wp14:sizeRelV relativeFrom="margin">
              <wp14:pctHeight>0</wp14:pctHeight>
            </wp14:sizeRelV>
          </wp:anchor>
        </w:drawing>
      </w:r>
    </w:p>
    <w:p w14:paraId="5DE45C52" w14:textId="77777777" w:rsidR="0015672F" w:rsidRDefault="0015672F" w:rsidP="00F31056">
      <w:pPr>
        <w:jc w:val="center"/>
        <w:rPr>
          <w:rFonts w:cstheme="minorHAnsi"/>
          <w:b/>
        </w:rPr>
      </w:pPr>
    </w:p>
    <w:p w14:paraId="1CB6964D" w14:textId="77777777" w:rsidR="0015672F" w:rsidRDefault="0015672F">
      <w:pPr>
        <w:rPr>
          <w:rFonts w:cstheme="minorHAnsi"/>
          <w:b/>
        </w:rPr>
      </w:pPr>
    </w:p>
    <w:p w14:paraId="23B0B9A7" w14:textId="77777777" w:rsidR="0015672F" w:rsidRDefault="0015672F">
      <w:pPr>
        <w:rPr>
          <w:rFonts w:cstheme="minorHAnsi"/>
          <w:b/>
        </w:rPr>
      </w:pPr>
    </w:p>
    <w:p w14:paraId="4DCEFF8D" w14:textId="77777777" w:rsidR="0015672F" w:rsidRDefault="0015672F">
      <w:pPr>
        <w:rPr>
          <w:rFonts w:cstheme="minorHAnsi"/>
          <w:b/>
        </w:rPr>
      </w:pPr>
    </w:p>
    <w:p w14:paraId="192EB3CB" w14:textId="77777777" w:rsidR="00F31056" w:rsidRDefault="00F31056" w:rsidP="00F31056">
      <w:pPr>
        <w:rPr>
          <w:b/>
        </w:rPr>
      </w:pPr>
    </w:p>
    <w:p w14:paraId="2FB437FB" w14:textId="77777777" w:rsidR="00DE4CE7" w:rsidRDefault="00DE4CE7" w:rsidP="00F31056">
      <w:pPr>
        <w:rPr>
          <w:b/>
        </w:rPr>
      </w:pPr>
    </w:p>
    <w:p w14:paraId="2FD46BBB" w14:textId="77777777" w:rsidR="00DE4CE7" w:rsidRDefault="00DE4CE7" w:rsidP="00F31056">
      <w:pPr>
        <w:rPr>
          <w:b/>
        </w:rPr>
      </w:pPr>
    </w:p>
    <w:p w14:paraId="0335ACB8" w14:textId="77777777" w:rsidR="00DE4CE7" w:rsidRDefault="00DE4CE7" w:rsidP="00F31056">
      <w:pPr>
        <w:rPr>
          <w:b/>
        </w:rPr>
      </w:pPr>
    </w:p>
    <w:p w14:paraId="3D2FC2C5" w14:textId="77777777" w:rsidR="00DE4CE7" w:rsidRDefault="00DE4CE7" w:rsidP="00F31056">
      <w:pPr>
        <w:rPr>
          <w:b/>
        </w:rPr>
      </w:pPr>
    </w:p>
    <w:p w14:paraId="6C4FD4AF" w14:textId="77777777" w:rsidR="00F31056" w:rsidRDefault="00F31056" w:rsidP="00F31056">
      <w:pPr>
        <w:jc w:val="center"/>
        <w:rPr>
          <w:b/>
        </w:rPr>
      </w:pPr>
    </w:p>
    <w:p w14:paraId="4D9F3B9A" w14:textId="77777777" w:rsidR="00C175D3" w:rsidRDefault="00C175D3" w:rsidP="00965FEE">
      <w:pPr>
        <w:jc w:val="right"/>
        <w:rPr>
          <w:rFonts w:ascii="Arial" w:hAnsi="Arial" w:cs="Arial"/>
          <w:sz w:val="60"/>
          <w:szCs w:val="60"/>
        </w:rPr>
      </w:pPr>
    </w:p>
    <w:p w14:paraId="70BE70DD" w14:textId="77777777" w:rsidR="00C175D3" w:rsidRDefault="00C175D3" w:rsidP="00965FEE">
      <w:pPr>
        <w:jc w:val="right"/>
        <w:rPr>
          <w:rFonts w:ascii="Arial" w:hAnsi="Arial" w:cs="Arial"/>
          <w:sz w:val="60"/>
          <w:szCs w:val="60"/>
        </w:rPr>
      </w:pPr>
    </w:p>
    <w:p w14:paraId="54FCBA08" w14:textId="77777777" w:rsidR="00C175D3" w:rsidRDefault="00C175D3" w:rsidP="00965FEE">
      <w:pPr>
        <w:jc w:val="right"/>
        <w:rPr>
          <w:rFonts w:ascii="Arial" w:hAnsi="Arial" w:cs="Arial"/>
          <w:sz w:val="60"/>
          <w:szCs w:val="60"/>
        </w:rPr>
      </w:pPr>
    </w:p>
    <w:p w14:paraId="159DE9EA" w14:textId="0E3B9DC9" w:rsidR="00981579" w:rsidRPr="00877066" w:rsidRDefault="00981579" w:rsidP="00981579">
      <w:pPr>
        <w:jc w:val="right"/>
        <w:rPr>
          <w:rFonts w:ascii="Apex New WFC Heavy" w:hAnsi="Apex New WFC Heavy"/>
          <w:color w:val="FCB415"/>
          <w:sz w:val="70"/>
          <w:szCs w:val="70"/>
        </w:rPr>
      </w:pPr>
      <w:r>
        <w:rPr>
          <w:rFonts w:ascii="Apex New WFC Heavy" w:hAnsi="Apex New WFC Heavy"/>
          <w:color w:val="FCB415"/>
          <w:sz w:val="70"/>
          <w:szCs w:val="70"/>
        </w:rPr>
        <w:t xml:space="preserve">Bursary </w:t>
      </w:r>
      <w:r w:rsidRPr="00877066">
        <w:rPr>
          <w:rFonts w:ascii="Apex New WFC Heavy" w:hAnsi="Apex New WFC Heavy"/>
          <w:color w:val="FCB415"/>
          <w:sz w:val="70"/>
          <w:szCs w:val="70"/>
        </w:rPr>
        <w:t xml:space="preserve">Policy </w:t>
      </w:r>
    </w:p>
    <w:p w14:paraId="66236AAE" w14:textId="77777777" w:rsidR="00981579" w:rsidRDefault="00981579" w:rsidP="00981579">
      <w:pPr>
        <w:jc w:val="right"/>
        <w:rPr>
          <w:rFonts w:ascii="Apex New WFC Heavy" w:hAnsi="Apex New WFC Heavy"/>
          <w:color w:val="FCB415"/>
          <w:sz w:val="40"/>
          <w:szCs w:val="40"/>
        </w:rPr>
      </w:pPr>
      <w:r w:rsidRPr="00896468">
        <w:rPr>
          <w:rFonts w:ascii="Apex New WFC Heavy" w:hAnsi="Apex New WFC Heavy"/>
          <w:color w:val="FCB415"/>
          <w:sz w:val="40"/>
          <w:szCs w:val="40"/>
        </w:rPr>
        <w:t>2025-202</w:t>
      </w:r>
      <w:r>
        <w:rPr>
          <w:rFonts w:ascii="Apex New WFC Heavy" w:hAnsi="Apex New WFC Heavy"/>
          <w:color w:val="FCB415"/>
          <w:sz w:val="40"/>
          <w:szCs w:val="40"/>
        </w:rPr>
        <w:t>6</w:t>
      </w:r>
    </w:p>
    <w:p w14:paraId="65A1389E" w14:textId="77777777" w:rsidR="00F81F6F" w:rsidRDefault="00F81F6F" w:rsidP="00965FEE">
      <w:pPr>
        <w:jc w:val="right"/>
        <w:rPr>
          <w:rFonts w:ascii="Arial" w:hAnsi="Arial" w:cs="Arial"/>
          <w:sz w:val="40"/>
          <w:szCs w:val="40"/>
        </w:rPr>
      </w:pPr>
    </w:p>
    <w:p w14:paraId="7505E228" w14:textId="77777777" w:rsidR="00F81F6F" w:rsidRDefault="00F81F6F" w:rsidP="00965FEE">
      <w:pPr>
        <w:jc w:val="right"/>
        <w:rPr>
          <w:rFonts w:ascii="Arial" w:hAnsi="Arial" w:cs="Arial"/>
          <w:sz w:val="40"/>
          <w:szCs w:val="40"/>
        </w:rPr>
      </w:pPr>
    </w:p>
    <w:p w14:paraId="7DC213C9" w14:textId="77777777" w:rsidR="00F81F6F" w:rsidRDefault="00F81F6F" w:rsidP="00965FEE">
      <w:pPr>
        <w:jc w:val="right"/>
        <w:rPr>
          <w:rFonts w:ascii="Arial" w:hAnsi="Arial" w:cs="Arial"/>
          <w:sz w:val="40"/>
          <w:szCs w:val="40"/>
        </w:rPr>
      </w:pPr>
    </w:p>
    <w:p w14:paraId="197DFE95" w14:textId="77777777" w:rsidR="00965FEE" w:rsidRPr="00CE543C" w:rsidRDefault="00965FEE" w:rsidP="00F31056">
      <w:pPr>
        <w:jc w:val="center"/>
        <w:rPr>
          <w:sz w:val="64"/>
          <w:szCs w:val="64"/>
        </w:rPr>
      </w:pPr>
    </w:p>
    <w:p w14:paraId="119C57A6" w14:textId="77777777" w:rsidR="00F31056" w:rsidRDefault="00F31056" w:rsidP="00F31056">
      <w:pPr>
        <w:rPr>
          <w:b/>
        </w:rPr>
      </w:pPr>
    </w:p>
    <w:p w14:paraId="35DB33A7" w14:textId="77777777" w:rsidR="00F31056" w:rsidRDefault="00F31056" w:rsidP="00F31056">
      <w:pPr>
        <w:rPr>
          <w:b/>
        </w:rPr>
      </w:pPr>
    </w:p>
    <w:p w14:paraId="355957EC" w14:textId="77777777" w:rsidR="00F31056" w:rsidRDefault="00F31056" w:rsidP="00F31056">
      <w:pPr>
        <w:rPr>
          <w:b/>
        </w:rPr>
      </w:pPr>
    </w:p>
    <w:p w14:paraId="6539C2AF" w14:textId="0AB272E9" w:rsidR="009E02DD" w:rsidRDefault="009E02DD" w:rsidP="00747703">
      <w:pPr>
        <w:pStyle w:val="NoSpacing"/>
        <w:numPr>
          <w:ilvl w:val="0"/>
          <w:numId w:val="20"/>
        </w:numPr>
        <w:rPr>
          <w:rFonts w:ascii="Arial" w:hAnsi="Arial" w:cs="Arial"/>
          <w:b/>
          <w:bCs/>
        </w:rPr>
      </w:pPr>
      <w:r w:rsidRPr="00C80F28">
        <w:rPr>
          <w:rFonts w:ascii="Arial" w:hAnsi="Arial" w:cs="Arial"/>
          <w:b/>
          <w:bCs/>
        </w:rPr>
        <w:lastRenderedPageBreak/>
        <w:t>Introduction</w:t>
      </w:r>
    </w:p>
    <w:p w14:paraId="7AEF0652" w14:textId="77777777" w:rsidR="00747703" w:rsidRPr="00C80F28" w:rsidRDefault="00747703" w:rsidP="00747703">
      <w:pPr>
        <w:pStyle w:val="NoSpacing"/>
        <w:ind w:left="720"/>
        <w:rPr>
          <w:rFonts w:ascii="Arial" w:hAnsi="Arial" w:cs="Arial"/>
          <w:b/>
          <w:bCs/>
        </w:rPr>
      </w:pPr>
    </w:p>
    <w:p w14:paraId="73EEA6F6" w14:textId="77777777" w:rsidR="00F81F6F" w:rsidRPr="00C80F28" w:rsidRDefault="00F81F6F" w:rsidP="00C80F28">
      <w:pPr>
        <w:pStyle w:val="NoSpacing"/>
        <w:rPr>
          <w:rFonts w:ascii="Arial" w:hAnsi="Arial" w:cs="Arial"/>
        </w:rPr>
      </w:pPr>
      <w:r w:rsidRPr="00C80F28">
        <w:rPr>
          <w:rFonts w:ascii="Arial" w:hAnsi="Arial" w:cs="Arial"/>
        </w:rPr>
        <w:t xml:space="preserve">Waltham Forest College receives allocations of funds from the Education and Skills Funding Agency (ESFA) to support eligible students to meet the costs of participating in education. The College sets its criteria for funding in accordance with the guidelines provided by the ESFA.  Eligible students will be required to show supporting evidence that they meet the required criteria. In certain exceptional circumstances, Waltham Forest College may exercise its ability to make discretionary awards.  </w:t>
      </w:r>
    </w:p>
    <w:p w14:paraId="25882115" w14:textId="77777777" w:rsidR="00F81F6F" w:rsidRPr="00C80F28" w:rsidRDefault="00F81F6F" w:rsidP="00C80F28">
      <w:pPr>
        <w:pStyle w:val="NoSpacing"/>
        <w:rPr>
          <w:rFonts w:ascii="Arial" w:hAnsi="Arial" w:cs="Arial"/>
        </w:rPr>
      </w:pPr>
      <w:r w:rsidRPr="00C80F28">
        <w:rPr>
          <w:rFonts w:ascii="Arial" w:hAnsi="Arial" w:cs="Arial"/>
        </w:rPr>
        <w:t xml:space="preserve">Any changes we may make to the payment amounts and methods of payment will be clearly communicated to learners. </w:t>
      </w:r>
    </w:p>
    <w:p w14:paraId="7269E3E4" w14:textId="77777777" w:rsidR="00C80F28" w:rsidRPr="00C80F28" w:rsidRDefault="00C80F28" w:rsidP="00C80F28">
      <w:pPr>
        <w:pStyle w:val="NoSpacing"/>
        <w:rPr>
          <w:rFonts w:ascii="Arial" w:hAnsi="Arial" w:cs="Arial"/>
          <w:bCs/>
        </w:rPr>
      </w:pPr>
    </w:p>
    <w:p w14:paraId="635883AF" w14:textId="3ED2620A" w:rsidR="00F81F6F" w:rsidRDefault="00F81F6F" w:rsidP="00747703">
      <w:pPr>
        <w:pStyle w:val="NoSpacing"/>
        <w:numPr>
          <w:ilvl w:val="0"/>
          <w:numId w:val="20"/>
        </w:numPr>
        <w:rPr>
          <w:rFonts w:ascii="Arial" w:hAnsi="Arial" w:cs="Arial"/>
          <w:b/>
        </w:rPr>
      </w:pPr>
      <w:r w:rsidRPr="00C80F28">
        <w:rPr>
          <w:rFonts w:ascii="Arial" w:hAnsi="Arial" w:cs="Arial"/>
          <w:b/>
        </w:rPr>
        <w:t xml:space="preserve">Information  </w:t>
      </w:r>
    </w:p>
    <w:p w14:paraId="2807E2FD" w14:textId="77777777" w:rsidR="00747703" w:rsidRPr="00C80F28" w:rsidRDefault="00747703" w:rsidP="00747703">
      <w:pPr>
        <w:pStyle w:val="NoSpacing"/>
        <w:ind w:left="720"/>
        <w:rPr>
          <w:rFonts w:ascii="Arial" w:hAnsi="Arial" w:cs="Arial"/>
          <w:b/>
        </w:rPr>
      </w:pPr>
    </w:p>
    <w:p w14:paraId="55C0B31B" w14:textId="78ABB0FF" w:rsidR="00F81F6F" w:rsidRDefault="00F81F6F" w:rsidP="00C80F28">
      <w:pPr>
        <w:pStyle w:val="NoSpacing"/>
        <w:rPr>
          <w:rFonts w:ascii="Arial" w:hAnsi="Arial" w:cs="Arial"/>
        </w:rPr>
      </w:pPr>
      <w:r w:rsidRPr="00C80F28">
        <w:rPr>
          <w:rFonts w:ascii="Arial" w:hAnsi="Arial" w:cs="Arial"/>
        </w:rPr>
        <w:t xml:space="preserve">Waltham Forest College provides information about and promotes access to financial support via information leaflets, the College website, at interviews and at promotional events </w:t>
      </w:r>
      <w:r w:rsidR="00747703">
        <w:rPr>
          <w:rFonts w:ascii="Arial" w:hAnsi="Arial" w:cs="Arial"/>
        </w:rPr>
        <w:t xml:space="preserve">such as </w:t>
      </w:r>
      <w:r w:rsidRPr="00C80F28">
        <w:rPr>
          <w:rFonts w:ascii="Arial" w:hAnsi="Arial" w:cs="Arial"/>
        </w:rPr>
        <w:t>open events</w:t>
      </w:r>
      <w:r w:rsidR="00747703">
        <w:rPr>
          <w:rFonts w:ascii="Arial" w:hAnsi="Arial" w:cs="Arial"/>
        </w:rPr>
        <w:t>, taster events</w:t>
      </w:r>
      <w:r w:rsidRPr="00C80F28">
        <w:rPr>
          <w:rFonts w:ascii="Arial" w:hAnsi="Arial" w:cs="Arial"/>
        </w:rPr>
        <w:t xml:space="preserve"> and during enrolment.  </w:t>
      </w:r>
    </w:p>
    <w:p w14:paraId="52D19C94" w14:textId="77777777" w:rsidR="00FF1A5D" w:rsidRPr="00C80F28" w:rsidRDefault="00FF1A5D" w:rsidP="00C80F28">
      <w:pPr>
        <w:pStyle w:val="NoSpacing"/>
        <w:rPr>
          <w:rFonts w:ascii="Arial" w:hAnsi="Arial" w:cs="Arial"/>
        </w:rPr>
      </w:pPr>
    </w:p>
    <w:p w14:paraId="16E8976C" w14:textId="0A5E004B" w:rsidR="00F81F6F" w:rsidRDefault="00551A27" w:rsidP="00C80F28">
      <w:pPr>
        <w:pStyle w:val="NoSpacing"/>
        <w:rPr>
          <w:rFonts w:ascii="Arial" w:hAnsi="Arial" w:cs="Arial"/>
        </w:rPr>
      </w:pPr>
      <w:r>
        <w:rPr>
          <w:rFonts w:ascii="Arial" w:hAnsi="Arial" w:cs="Arial"/>
        </w:rPr>
        <w:t>Learners can apply through the o</w:t>
      </w:r>
      <w:r w:rsidR="00E523C1">
        <w:rPr>
          <w:rFonts w:ascii="Arial" w:hAnsi="Arial" w:cs="Arial"/>
        </w:rPr>
        <w:t>nline</w:t>
      </w:r>
      <w:r w:rsidR="009A4A73">
        <w:rPr>
          <w:rFonts w:ascii="Arial" w:hAnsi="Arial" w:cs="Arial"/>
        </w:rPr>
        <w:t xml:space="preserve"> application</w:t>
      </w:r>
      <w:r w:rsidR="00E523C1">
        <w:rPr>
          <w:rFonts w:ascii="Arial" w:hAnsi="Arial" w:cs="Arial"/>
        </w:rPr>
        <w:t xml:space="preserve"> system called PayMyStudent</w:t>
      </w:r>
      <w:r w:rsidR="002D3CB2">
        <w:rPr>
          <w:rFonts w:ascii="Arial" w:hAnsi="Arial" w:cs="Arial"/>
        </w:rPr>
        <w:t>. This</w:t>
      </w:r>
      <w:r w:rsidR="00E24AB1">
        <w:rPr>
          <w:rFonts w:ascii="Arial" w:hAnsi="Arial" w:cs="Arial"/>
        </w:rPr>
        <w:t xml:space="preserve"> </w:t>
      </w:r>
      <w:r w:rsidR="00E24AB1" w:rsidRPr="0030629A">
        <w:rPr>
          <w:rFonts w:ascii="Arial" w:hAnsi="Arial" w:cs="Arial"/>
        </w:rPr>
        <w:t>platform</w:t>
      </w:r>
      <w:r w:rsidR="002D3CB2" w:rsidRPr="0030629A">
        <w:rPr>
          <w:rFonts w:ascii="Arial" w:hAnsi="Arial" w:cs="Arial"/>
        </w:rPr>
        <w:t xml:space="preserve"> </w:t>
      </w:r>
      <w:r w:rsidR="00E24AB1" w:rsidRPr="0030629A">
        <w:rPr>
          <w:rFonts w:ascii="Arial" w:hAnsi="Arial" w:cs="Arial"/>
        </w:rPr>
        <w:t>is</w:t>
      </w:r>
      <w:r w:rsidR="002D3CB2" w:rsidRPr="0030629A">
        <w:rPr>
          <w:rFonts w:ascii="Arial" w:hAnsi="Arial" w:cs="Arial"/>
        </w:rPr>
        <w:t xml:space="preserve"> cloud-based, so can be used on any device: PC, laptop, tablet </w:t>
      </w:r>
      <w:r w:rsidR="00E24AB1" w:rsidRPr="0030629A">
        <w:rPr>
          <w:rFonts w:ascii="Arial" w:hAnsi="Arial" w:cs="Arial"/>
        </w:rPr>
        <w:t>or</w:t>
      </w:r>
      <w:r w:rsidR="002D3CB2" w:rsidRPr="0030629A">
        <w:rPr>
          <w:rFonts w:ascii="Arial" w:hAnsi="Arial" w:cs="Arial"/>
        </w:rPr>
        <w:t xml:space="preserve"> mobile </w:t>
      </w:r>
      <w:r w:rsidR="002D3CB2">
        <w:rPr>
          <w:rFonts w:ascii="Arial" w:hAnsi="Arial" w:cs="Arial"/>
        </w:rPr>
        <w:t>phone</w:t>
      </w:r>
      <w:r w:rsidR="00B0626C">
        <w:rPr>
          <w:rFonts w:ascii="Arial" w:hAnsi="Arial" w:cs="Arial"/>
        </w:rPr>
        <w:t xml:space="preserve"> and</w:t>
      </w:r>
      <w:r w:rsidR="000018C7">
        <w:rPr>
          <w:rFonts w:ascii="Arial" w:hAnsi="Arial" w:cs="Arial"/>
        </w:rPr>
        <w:t xml:space="preserve"> can be</w:t>
      </w:r>
      <w:r w:rsidR="00B0626C">
        <w:rPr>
          <w:rFonts w:ascii="Arial" w:hAnsi="Arial" w:cs="Arial"/>
        </w:rPr>
        <w:t xml:space="preserve"> accessed </w:t>
      </w:r>
      <w:r w:rsidR="000018C7">
        <w:rPr>
          <w:rFonts w:ascii="Arial" w:hAnsi="Arial" w:cs="Arial"/>
        </w:rPr>
        <w:t>through</w:t>
      </w:r>
      <w:r w:rsidR="00F81F6F" w:rsidRPr="00C80F28">
        <w:rPr>
          <w:rFonts w:ascii="Arial" w:hAnsi="Arial" w:cs="Arial"/>
        </w:rPr>
        <w:t xml:space="preserve"> the College website. Progressing students must reapply for funding. </w:t>
      </w:r>
      <w:r w:rsidR="00B0626C">
        <w:rPr>
          <w:rFonts w:ascii="Arial" w:hAnsi="Arial" w:cs="Arial"/>
        </w:rPr>
        <w:t>The online a</w:t>
      </w:r>
      <w:r w:rsidR="00F81F6F" w:rsidRPr="00C80F28">
        <w:rPr>
          <w:rFonts w:ascii="Arial" w:hAnsi="Arial" w:cs="Arial"/>
        </w:rPr>
        <w:t xml:space="preserve">pplication </w:t>
      </w:r>
      <w:r w:rsidR="00B0626C">
        <w:rPr>
          <w:rFonts w:ascii="Arial" w:hAnsi="Arial" w:cs="Arial"/>
        </w:rPr>
        <w:t>is</w:t>
      </w:r>
      <w:r w:rsidR="00F81F6F" w:rsidRPr="00C80F28">
        <w:rPr>
          <w:rFonts w:ascii="Arial" w:hAnsi="Arial" w:cs="Arial"/>
        </w:rPr>
        <w:t xml:space="preserve"> clear and easy to follow, and learners can get help to complete their application by visiting the Welfare and Wellbeing Team.  Applications must be completed</w:t>
      </w:r>
      <w:r w:rsidR="00E37186">
        <w:rPr>
          <w:rFonts w:ascii="Arial" w:hAnsi="Arial" w:cs="Arial"/>
        </w:rPr>
        <w:t xml:space="preserve"> and approved</w:t>
      </w:r>
      <w:r w:rsidR="00F81F6F" w:rsidRPr="00C80F28">
        <w:rPr>
          <w:rFonts w:ascii="Arial" w:hAnsi="Arial" w:cs="Arial"/>
        </w:rPr>
        <w:t xml:space="preserve"> before learners can receive help with </w:t>
      </w:r>
      <w:r w:rsidR="00FA07A6">
        <w:rPr>
          <w:rFonts w:ascii="Arial" w:hAnsi="Arial" w:cs="Arial"/>
        </w:rPr>
        <w:t>support</w:t>
      </w:r>
      <w:r w:rsidR="00F81F6F" w:rsidRPr="00C80F28">
        <w:rPr>
          <w:rFonts w:ascii="Arial" w:hAnsi="Arial" w:cs="Arial"/>
        </w:rPr>
        <w:t>.</w:t>
      </w:r>
      <w:r w:rsidR="003E0ABF">
        <w:rPr>
          <w:rFonts w:ascii="Arial" w:hAnsi="Arial" w:cs="Arial"/>
        </w:rPr>
        <w:t xml:space="preserve"> </w:t>
      </w:r>
      <w:r w:rsidR="00F81F6F" w:rsidRPr="00C80F28">
        <w:rPr>
          <w:rFonts w:ascii="Arial" w:hAnsi="Arial" w:cs="Arial"/>
        </w:rPr>
        <w:t xml:space="preserve">Up-to-date, valid supporting evidence must be </w:t>
      </w:r>
      <w:r w:rsidR="002468D7">
        <w:rPr>
          <w:rFonts w:ascii="Arial" w:hAnsi="Arial" w:cs="Arial"/>
        </w:rPr>
        <w:t>uploaded</w:t>
      </w:r>
      <w:r w:rsidR="00F81F6F" w:rsidRPr="00C80F28">
        <w:rPr>
          <w:rFonts w:ascii="Arial" w:hAnsi="Arial" w:cs="Arial"/>
        </w:rPr>
        <w:t xml:space="preserve"> at the time of application</w:t>
      </w:r>
      <w:r w:rsidR="002468D7">
        <w:rPr>
          <w:rFonts w:ascii="Arial" w:hAnsi="Arial" w:cs="Arial"/>
        </w:rPr>
        <w:t>.</w:t>
      </w:r>
      <w:r w:rsidR="00F81F6F" w:rsidRPr="00C80F28">
        <w:rPr>
          <w:rFonts w:ascii="Arial" w:hAnsi="Arial" w:cs="Arial"/>
        </w:rPr>
        <w:t xml:space="preserve"> </w:t>
      </w:r>
    </w:p>
    <w:p w14:paraId="533DFC69" w14:textId="0C0926B5" w:rsidR="00332760" w:rsidRDefault="00332760" w:rsidP="00C80F28">
      <w:pPr>
        <w:pStyle w:val="NoSpacing"/>
        <w:rPr>
          <w:rFonts w:ascii="Arial" w:hAnsi="Arial" w:cs="Arial"/>
        </w:rPr>
      </w:pPr>
    </w:p>
    <w:p w14:paraId="561EAA12" w14:textId="195AE81F" w:rsidR="00332760" w:rsidRPr="0030629A" w:rsidRDefault="00332760" w:rsidP="00C80F28">
      <w:pPr>
        <w:pStyle w:val="NoSpacing"/>
        <w:rPr>
          <w:rFonts w:ascii="Arial" w:hAnsi="Arial" w:cs="Arial"/>
        </w:rPr>
      </w:pPr>
      <w:r w:rsidRPr="0030629A">
        <w:rPr>
          <w:rFonts w:ascii="Arial" w:hAnsi="Arial" w:cs="Arial"/>
        </w:rPr>
        <w:t xml:space="preserve">Waltham Forest college uses an online store for students to purchase items relating to the specific course requirements. The online store sits separate to the PayMyStudent portal and students are made aware of this facility via the College Website, leaflets, interviews and during enrolment. </w:t>
      </w:r>
    </w:p>
    <w:p w14:paraId="3D462CA8" w14:textId="77777777" w:rsidR="004D5FEC" w:rsidRPr="00C80F28" w:rsidRDefault="004D5FEC" w:rsidP="00C80F28">
      <w:pPr>
        <w:pStyle w:val="NoSpacing"/>
        <w:rPr>
          <w:rFonts w:ascii="Arial" w:hAnsi="Arial" w:cs="Arial"/>
        </w:rPr>
      </w:pPr>
    </w:p>
    <w:p w14:paraId="7405B730" w14:textId="705ACE51" w:rsidR="00F81F6F" w:rsidRDefault="00F81F6F" w:rsidP="00C80F28">
      <w:pPr>
        <w:pStyle w:val="NoSpacing"/>
        <w:rPr>
          <w:rFonts w:ascii="Arial" w:hAnsi="Arial" w:cs="Arial"/>
        </w:rPr>
      </w:pPr>
      <w:r w:rsidRPr="00C80F28">
        <w:rPr>
          <w:rFonts w:ascii="Arial" w:hAnsi="Arial" w:cs="Arial"/>
        </w:rPr>
        <w:t>All learners aged 16 and over and who meet the residency criteria set out in national funding guidance and are studying an ESFA funded course are eligible to apply. Waged apprentices are not eligible. Should an applicant withdraw from their chosen course of study they may be required to repay monies or return equipment supplied/bought by the support fund.</w:t>
      </w:r>
    </w:p>
    <w:p w14:paraId="78E02822" w14:textId="77777777" w:rsidR="00AD3791" w:rsidRPr="00C80F28" w:rsidRDefault="00AD3791" w:rsidP="00C80F28">
      <w:pPr>
        <w:pStyle w:val="NoSpacing"/>
        <w:rPr>
          <w:rFonts w:ascii="Arial" w:hAnsi="Arial" w:cs="Arial"/>
        </w:rPr>
      </w:pPr>
    </w:p>
    <w:p w14:paraId="1A51AC0B" w14:textId="77777777" w:rsidR="00C80F28" w:rsidRPr="00C80F28" w:rsidRDefault="00C80F28" w:rsidP="00C80F28">
      <w:pPr>
        <w:pStyle w:val="NoSpacing"/>
        <w:rPr>
          <w:rFonts w:ascii="Arial" w:hAnsi="Arial" w:cs="Arial"/>
          <w:bCs/>
        </w:rPr>
      </w:pPr>
    </w:p>
    <w:p w14:paraId="4A41E25C" w14:textId="519BD714" w:rsidR="00F81F6F" w:rsidRDefault="00F81F6F" w:rsidP="00747703">
      <w:pPr>
        <w:pStyle w:val="NoSpacing"/>
        <w:numPr>
          <w:ilvl w:val="0"/>
          <w:numId w:val="20"/>
        </w:numPr>
        <w:rPr>
          <w:rFonts w:ascii="Arial" w:hAnsi="Arial" w:cs="Arial"/>
          <w:b/>
        </w:rPr>
      </w:pPr>
      <w:r w:rsidRPr="00C80F28">
        <w:rPr>
          <w:rFonts w:ascii="Arial" w:hAnsi="Arial" w:cs="Arial"/>
          <w:b/>
        </w:rPr>
        <w:t>Eligibility</w:t>
      </w:r>
    </w:p>
    <w:p w14:paraId="62970BEE" w14:textId="77777777" w:rsidR="00747703" w:rsidRPr="00C80F28" w:rsidRDefault="00747703" w:rsidP="00747703">
      <w:pPr>
        <w:pStyle w:val="NoSpacing"/>
        <w:ind w:left="720"/>
        <w:rPr>
          <w:rFonts w:ascii="Arial" w:hAnsi="Arial" w:cs="Arial"/>
          <w:b/>
        </w:rPr>
      </w:pPr>
    </w:p>
    <w:p w14:paraId="5C95BE62" w14:textId="0B3B2CFF" w:rsidR="00F81F6F" w:rsidRPr="00C80F28" w:rsidRDefault="00F81F6F" w:rsidP="00C80F28">
      <w:pPr>
        <w:pStyle w:val="NoSpacing"/>
        <w:rPr>
          <w:rFonts w:ascii="Arial" w:hAnsi="Arial" w:cs="Arial"/>
        </w:rPr>
      </w:pPr>
      <w:r w:rsidRPr="00C80F28">
        <w:rPr>
          <w:rFonts w:ascii="Arial" w:hAnsi="Arial" w:cs="Arial"/>
        </w:rPr>
        <w:t xml:space="preserve">Eligibility is based on age, residence, household income and level of qualification and in the case of travel, distance travelled from home to campus of study.  The College eligibility criteria is reviewed and updated annually based on the ESFA published guidelines for that year. </w:t>
      </w:r>
    </w:p>
    <w:p w14:paraId="77B5A312" w14:textId="77777777" w:rsidR="00F81F6F" w:rsidRPr="00C80F28" w:rsidRDefault="00F81F6F" w:rsidP="00C80F28">
      <w:pPr>
        <w:pStyle w:val="NoSpacing"/>
        <w:rPr>
          <w:rFonts w:ascii="Arial" w:hAnsi="Arial" w:cs="Arial"/>
        </w:rPr>
      </w:pPr>
    </w:p>
    <w:p w14:paraId="0E3DD1D8" w14:textId="77777777" w:rsidR="00F81F6F" w:rsidRPr="00C80F28" w:rsidRDefault="00F81F6F" w:rsidP="00C80F28">
      <w:pPr>
        <w:pStyle w:val="NoSpacing"/>
        <w:rPr>
          <w:rFonts w:ascii="Arial" w:hAnsi="Arial" w:cs="Arial"/>
        </w:rPr>
      </w:pPr>
      <w:r w:rsidRPr="00C80F28">
        <w:rPr>
          <w:rFonts w:ascii="Arial" w:hAnsi="Arial" w:cs="Arial"/>
        </w:rPr>
        <w:t xml:space="preserve">Full eligibility criteria and maximum levels of support is detailed in Appendix 1.  The 16-19 Bursary Fund, 19+ Discretionary Learner Support Fund and Advanced Learner Loans Bursaries are means-tested, and applicants will be required to provide evidence to verify total household income.  </w:t>
      </w:r>
    </w:p>
    <w:p w14:paraId="74A7F8F3" w14:textId="77777777" w:rsidR="00F81F6F" w:rsidRPr="00C80F28" w:rsidRDefault="00F81F6F" w:rsidP="00C80F28">
      <w:pPr>
        <w:pStyle w:val="NoSpacing"/>
        <w:rPr>
          <w:rFonts w:ascii="Arial" w:hAnsi="Arial" w:cs="Arial"/>
        </w:rPr>
      </w:pPr>
    </w:p>
    <w:p w14:paraId="6B0665EE" w14:textId="21394B93" w:rsidR="00F81F6F" w:rsidRDefault="00F81F6F" w:rsidP="00C80F28">
      <w:pPr>
        <w:pStyle w:val="NoSpacing"/>
        <w:rPr>
          <w:rFonts w:ascii="Arial" w:hAnsi="Arial" w:cs="Arial"/>
        </w:rPr>
      </w:pPr>
      <w:r w:rsidRPr="00C80F28">
        <w:rPr>
          <w:rFonts w:ascii="Arial" w:hAnsi="Arial" w:cs="Arial"/>
        </w:rPr>
        <w:t>Learners applying through the Advanced Learner Loan Bursaries for Additional Learning Support costs ONLY will not be means tested.</w:t>
      </w:r>
    </w:p>
    <w:p w14:paraId="2E1513F4" w14:textId="0F3FD15F" w:rsidR="00F7090B" w:rsidRDefault="00F7090B" w:rsidP="00C80F28">
      <w:pPr>
        <w:pStyle w:val="NoSpacing"/>
        <w:rPr>
          <w:rFonts w:ascii="Arial" w:hAnsi="Arial" w:cs="Arial"/>
        </w:rPr>
      </w:pPr>
    </w:p>
    <w:p w14:paraId="1E4FF557" w14:textId="68AAB947" w:rsidR="00F7090B" w:rsidRDefault="00F7090B" w:rsidP="00C80F28">
      <w:pPr>
        <w:pStyle w:val="NoSpacing"/>
        <w:rPr>
          <w:rFonts w:ascii="Arial" w:hAnsi="Arial" w:cs="Arial"/>
        </w:rPr>
      </w:pPr>
    </w:p>
    <w:p w14:paraId="7892B4BA" w14:textId="721BE869" w:rsidR="00F7090B" w:rsidRDefault="00F7090B" w:rsidP="00C80F28">
      <w:pPr>
        <w:pStyle w:val="NoSpacing"/>
        <w:rPr>
          <w:rFonts w:ascii="Arial" w:hAnsi="Arial" w:cs="Arial"/>
        </w:rPr>
      </w:pPr>
    </w:p>
    <w:p w14:paraId="33B00878" w14:textId="77777777" w:rsidR="00C83203" w:rsidRPr="00C80F28" w:rsidRDefault="00C83203" w:rsidP="00C80F28">
      <w:pPr>
        <w:pStyle w:val="NoSpacing"/>
        <w:rPr>
          <w:rFonts w:ascii="Arial" w:hAnsi="Arial" w:cs="Arial"/>
        </w:rPr>
      </w:pPr>
    </w:p>
    <w:p w14:paraId="6F814BC7" w14:textId="77777777" w:rsidR="00F81F6F" w:rsidRPr="00C80F28" w:rsidRDefault="00F81F6F" w:rsidP="00C80F28">
      <w:pPr>
        <w:pStyle w:val="NoSpacing"/>
        <w:rPr>
          <w:rFonts w:ascii="Arial" w:hAnsi="Arial" w:cs="Arial"/>
        </w:rPr>
      </w:pPr>
    </w:p>
    <w:p w14:paraId="4E44F5EC" w14:textId="77777777" w:rsidR="00F81F6F" w:rsidRPr="00C80F28" w:rsidRDefault="00F81F6F" w:rsidP="00747703">
      <w:pPr>
        <w:pStyle w:val="NoSpacing"/>
        <w:numPr>
          <w:ilvl w:val="0"/>
          <w:numId w:val="20"/>
        </w:numPr>
        <w:rPr>
          <w:rFonts w:ascii="Arial" w:hAnsi="Arial" w:cs="Arial"/>
          <w:b/>
        </w:rPr>
      </w:pPr>
      <w:r w:rsidRPr="00C80F28">
        <w:rPr>
          <w:rFonts w:ascii="Arial" w:hAnsi="Arial" w:cs="Arial"/>
          <w:b/>
        </w:rPr>
        <w:lastRenderedPageBreak/>
        <w:t xml:space="preserve">Help towards meeting course related costs  </w:t>
      </w:r>
    </w:p>
    <w:p w14:paraId="469B367A" w14:textId="77777777" w:rsidR="00F81F6F" w:rsidRPr="00C80F28" w:rsidRDefault="00F81F6F" w:rsidP="00C80F28">
      <w:pPr>
        <w:pStyle w:val="NoSpacing"/>
        <w:rPr>
          <w:rFonts w:ascii="Arial" w:hAnsi="Arial" w:cs="Arial"/>
          <w:bCs/>
        </w:rPr>
      </w:pPr>
    </w:p>
    <w:p w14:paraId="4B85B4B2" w14:textId="48BFA814" w:rsidR="00A80A58" w:rsidRPr="007527A3" w:rsidRDefault="00F81F6F" w:rsidP="00C80F28">
      <w:pPr>
        <w:pStyle w:val="NoSpacing"/>
        <w:rPr>
          <w:rFonts w:ascii="Arial" w:hAnsi="Arial" w:cs="Arial"/>
        </w:rPr>
      </w:pPr>
      <w:r w:rsidRPr="007527A3">
        <w:rPr>
          <w:rFonts w:ascii="Arial" w:hAnsi="Arial" w:cs="Arial"/>
        </w:rPr>
        <w:t>Assessment of the level of support needed for each programme of study will be carried out in conjunction with information supplied</w:t>
      </w:r>
      <w:r w:rsidR="007527A3" w:rsidRPr="007527A3">
        <w:rPr>
          <w:rFonts w:ascii="Arial" w:hAnsi="Arial" w:cs="Arial"/>
        </w:rPr>
        <w:t xml:space="preserve"> during the application process, course and individual circumstance. </w:t>
      </w:r>
      <w:r w:rsidRPr="007527A3">
        <w:rPr>
          <w:rFonts w:ascii="Arial" w:hAnsi="Arial" w:cs="Arial"/>
        </w:rPr>
        <w:t xml:space="preserve"> Waltham Forest College may purchase equipment and uniform on behalf of any learners in extreme financial difficulty. Any funds paid directly to learners will be made via BACs to the designated bank account.</w:t>
      </w:r>
    </w:p>
    <w:p w14:paraId="6371EA5A" w14:textId="77777777" w:rsidR="00A80A58" w:rsidRPr="0088132B" w:rsidRDefault="00A80A58" w:rsidP="00C80F28">
      <w:pPr>
        <w:pStyle w:val="NoSpacing"/>
        <w:rPr>
          <w:rFonts w:ascii="Arial" w:hAnsi="Arial" w:cs="Arial"/>
          <w:color w:val="FF0000"/>
        </w:rPr>
      </w:pPr>
    </w:p>
    <w:p w14:paraId="243868CC" w14:textId="5022568F" w:rsidR="00A663B2" w:rsidRPr="00C83203" w:rsidRDefault="00F81F6F" w:rsidP="00C80F28">
      <w:pPr>
        <w:pStyle w:val="NoSpacing"/>
        <w:rPr>
          <w:rFonts w:ascii="Arial" w:hAnsi="Arial" w:cs="Arial"/>
        </w:rPr>
      </w:pPr>
      <w:r w:rsidRPr="007527A3">
        <w:rPr>
          <w:rFonts w:ascii="Arial" w:hAnsi="Arial" w:cs="Arial"/>
        </w:rPr>
        <w:t xml:space="preserve">Course related costs are normally paid </w:t>
      </w:r>
      <w:r w:rsidR="007527A3" w:rsidRPr="007527A3">
        <w:rPr>
          <w:rFonts w:ascii="Arial" w:hAnsi="Arial" w:cs="Arial"/>
        </w:rPr>
        <w:t>monthly</w:t>
      </w:r>
      <w:r w:rsidRPr="007527A3">
        <w:rPr>
          <w:rFonts w:ascii="Arial" w:hAnsi="Arial" w:cs="Arial"/>
        </w:rPr>
        <w:t xml:space="preserve"> with the first instalment covering essential </w:t>
      </w:r>
      <w:r w:rsidRPr="00C83203">
        <w:rPr>
          <w:rFonts w:ascii="Arial" w:hAnsi="Arial" w:cs="Arial"/>
        </w:rPr>
        <w:t>items</w:t>
      </w:r>
      <w:r w:rsidR="00A663B2" w:rsidRPr="00C83203">
        <w:rPr>
          <w:rFonts w:ascii="Arial" w:hAnsi="Arial" w:cs="Arial"/>
        </w:rPr>
        <w:t xml:space="preserve"> and will not support costs related to education (living costs), extra-curricular activities or provide learning support.</w:t>
      </w:r>
    </w:p>
    <w:p w14:paraId="505F8FAE" w14:textId="648718AE" w:rsidR="00F7090B" w:rsidRPr="00C83203" w:rsidRDefault="00F7090B" w:rsidP="00C80F28">
      <w:pPr>
        <w:pStyle w:val="NoSpacing"/>
        <w:rPr>
          <w:rFonts w:ascii="Arial" w:hAnsi="Arial" w:cs="Arial"/>
        </w:rPr>
      </w:pPr>
    </w:p>
    <w:p w14:paraId="2DCAC738" w14:textId="276BB8C8" w:rsidR="00F7090B" w:rsidRPr="00C83203" w:rsidRDefault="00F7090B" w:rsidP="00C80F28">
      <w:pPr>
        <w:pStyle w:val="NoSpacing"/>
        <w:rPr>
          <w:rFonts w:ascii="Arial" w:hAnsi="Arial" w:cs="Arial"/>
        </w:rPr>
      </w:pPr>
      <w:r w:rsidRPr="00C83203">
        <w:rPr>
          <w:rFonts w:ascii="Arial" w:hAnsi="Arial" w:cs="Arial"/>
        </w:rPr>
        <w:t>The College will not fund any additional items purchased for a student’s course that are not recognised as essential requirements of that programme of study.</w:t>
      </w:r>
    </w:p>
    <w:p w14:paraId="11900F67" w14:textId="77777777" w:rsidR="0088132B" w:rsidRDefault="0088132B" w:rsidP="00C80F28">
      <w:pPr>
        <w:pStyle w:val="NoSpacing"/>
        <w:rPr>
          <w:rFonts w:ascii="Arial" w:hAnsi="Arial" w:cs="Arial"/>
          <w:b/>
        </w:rPr>
      </w:pPr>
    </w:p>
    <w:p w14:paraId="532EAE4E" w14:textId="77777777" w:rsidR="00747703" w:rsidRDefault="00A80A58" w:rsidP="00747703">
      <w:pPr>
        <w:pStyle w:val="NoSpacing"/>
        <w:numPr>
          <w:ilvl w:val="0"/>
          <w:numId w:val="20"/>
        </w:numPr>
        <w:rPr>
          <w:rFonts w:ascii="Arial" w:hAnsi="Arial" w:cs="Arial"/>
          <w:b/>
        </w:rPr>
      </w:pPr>
      <w:r w:rsidRPr="00C80F28">
        <w:rPr>
          <w:rFonts w:ascii="Arial" w:hAnsi="Arial" w:cs="Arial"/>
          <w:b/>
        </w:rPr>
        <w:t xml:space="preserve">Help towards travel costs </w:t>
      </w:r>
    </w:p>
    <w:p w14:paraId="1455F7B8" w14:textId="57B1985B" w:rsidR="00A80A58" w:rsidRPr="00C80F28" w:rsidRDefault="00A80A58" w:rsidP="00C80F28">
      <w:pPr>
        <w:pStyle w:val="NoSpacing"/>
        <w:rPr>
          <w:rFonts w:ascii="Arial" w:hAnsi="Arial" w:cs="Arial"/>
          <w:b/>
        </w:rPr>
      </w:pPr>
      <w:r w:rsidRPr="00C80F28">
        <w:rPr>
          <w:rFonts w:ascii="Arial" w:hAnsi="Arial" w:cs="Arial"/>
          <w:b/>
        </w:rPr>
        <w:t xml:space="preserve"> </w:t>
      </w:r>
    </w:p>
    <w:p w14:paraId="410CFA47" w14:textId="698393BC" w:rsidR="00A80A58" w:rsidRPr="00C80F28" w:rsidRDefault="00A80A58" w:rsidP="00C80F28">
      <w:pPr>
        <w:pStyle w:val="NoSpacing"/>
        <w:rPr>
          <w:rFonts w:ascii="Arial" w:hAnsi="Arial" w:cs="Arial"/>
        </w:rPr>
      </w:pPr>
      <w:r w:rsidRPr="00C80F28">
        <w:rPr>
          <w:rFonts w:ascii="Arial" w:hAnsi="Arial" w:cs="Arial"/>
        </w:rPr>
        <w:t>Bursary funds for learners aged 16-18 will be administered in conjunction with Local Authority Transport Scheme’s and Policies. In most cas</w:t>
      </w:r>
      <w:r w:rsidR="002332AA">
        <w:rPr>
          <w:rFonts w:ascii="Arial" w:hAnsi="Arial" w:cs="Arial"/>
        </w:rPr>
        <w:t>es.</w:t>
      </w:r>
      <w:r w:rsidRPr="00C80F28">
        <w:rPr>
          <w:rFonts w:ascii="Arial" w:hAnsi="Arial" w:cs="Arial"/>
        </w:rPr>
        <w:t xml:space="preserve"> Bursary funds will be used to provide additional financial support where transport costs are not met in full or present a barrier to learning.  </w:t>
      </w:r>
    </w:p>
    <w:p w14:paraId="29EA449F" w14:textId="77777777" w:rsidR="00A80A58" w:rsidRPr="00C80F28" w:rsidRDefault="00A80A58" w:rsidP="00C80F28">
      <w:pPr>
        <w:pStyle w:val="NoSpacing"/>
        <w:rPr>
          <w:rFonts w:ascii="Arial" w:hAnsi="Arial" w:cs="Arial"/>
        </w:rPr>
      </w:pPr>
    </w:p>
    <w:p w14:paraId="1B573E89" w14:textId="6DEE8C25" w:rsidR="00F81F6F" w:rsidRPr="00C80F28" w:rsidRDefault="00A80A58" w:rsidP="00C80F28">
      <w:pPr>
        <w:pStyle w:val="NoSpacing"/>
        <w:rPr>
          <w:rFonts w:ascii="Arial" w:hAnsi="Arial" w:cs="Arial"/>
        </w:rPr>
      </w:pPr>
      <w:r w:rsidRPr="00C80F28">
        <w:rPr>
          <w:rFonts w:ascii="Arial" w:hAnsi="Arial" w:cs="Arial"/>
        </w:rPr>
        <w:t xml:space="preserve">Support through bursary funds with the cost of travel is </w:t>
      </w:r>
      <w:r w:rsidR="00182B57">
        <w:rPr>
          <w:rFonts w:ascii="Arial" w:hAnsi="Arial" w:cs="Arial"/>
        </w:rPr>
        <w:t xml:space="preserve">normally </w:t>
      </w:r>
      <w:r w:rsidRPr="00C80F28">
        <w:rPr>
          <w:rFonts w:ascii="Arial" w:hAnsi="Arial" w:cs="Arial"/>
        </w:rPr>
        <w:t xml:space="preserve">available to learners who </w:t>
      </w:r>
      <w:r w:rsidRPr="00182B57">
        <w:rPr>
          <w:rFonts w:ascii="Arial" w:hAnsi="Arial" w:cs="Arial"/>
        </w:rPr>
        <w:t xml:space="preserve">travel more than </w:t>
      </w:r>
      <w:r w:rsidRPr="00132771">
        <w:rPr>
          <w:rFonts w:ascii="Arial" w:hAnsi="Arial" w:cs="Arial"/>
        </w:rPr>
        <w:t>t</w:t>
      </w:r>
      <w:r w:rsidR="002332AA" w:rsidRPr="00132771">
        <w:rPr>
          <w:rFonts w:ascii="Arial" w:hAnsi="Arial" w:cs="Arial"/>
        </w:rPr>
        <w:t>wo</w:t>
      </w:r>
      <w:r w:rsidRPr="00132771">
        <w:rPr>
          <w:rFonts w:ascii="Arial" w:hAnsi="Arial" w:cs="Arial"/>
        </w:rPr>
        <w:t xml:space="preserve"> </w:t>
      </w:r>
      <w:r w:rsidRPr="00182B57">
        <w:rPr>
          <w:rFonts w:ascii="Arial" w:hAnsi="Arial" w:cs="Arial"/>
        </w:rPr>
        <w:t>miles to their site of study.</w:t>
      </w:r>
      <w:r w:rsidRPr="00C80F28">
        <w:rPr>
          <w:rFonts w:ascii="Arial" w:hAnsi="Arial" w:cs="Arial"/>
        </w:rPr>
        <w:t xml:space="preserve"> Travel support will be using the most cost-effective form of transport; however, the college will exercise discretion on this decision where another form of support is deemed more suitable. Learners eligible for local authority travel assistance can request assistance with the cost of the contribution they are required to make.</w:t>
      </w:r>
    </w:p>
    <w:p w14:paraId="7D06DF23" w14:textId="77777777" w:rsidR="00F81F6F" w:rsidRPr="00C80F28" w:rsidRDefault="00F81F6F" w:rsidP="00C80F28">
      <w:pPr>
        <w:pStyle w:val="NoSpacing"/>
        <w:rPr>
          <w:rFonts w:ascii="Arial" w:hAnsi="Arial" w:cs="Arial"/>
        </w:rPr>
      </w:pPr>
    </w:p>
    <w:p w14:paraId="0BAB4BF6" w14:textId="4C5CE3C6" w:rsidR="00A80A58" w:rsidRDefault="00A80A58" w:rsidP="00747703">
      <w:pPr>
        <w:pStyle w:val="NoSpacing"/>
        <w:numPr>
          <w:ilvl w:val="0"/>
          <w:numId w:val="20"/>
        </w:numPr>
        <w:rPr>
          <w:rFonts w:ascii="Arial" w:hAnsi="Arial" w:cs="Arial"/>
          <w:b/>
        </w:rPr>
      </w:pPr>
      <w:r w:rsidRPr="00C80F28">
        <w:rPr>
          <w:rFonts w:ascii="Arial" w:hAnsi="Arial" w:cs="Arial"/>
          <w:b/>
        </w:rPr>
        <w:t xml:space="preserve">Help towards meals </w:t>
      </w:r>
    </w:p>
    <w:p w14:paraId="229B0F34" w14:textId="77777777" w:rsidR="00747703" w:rsidRPr="00C80F28" w:rsidRDefault="00747703" w:rsidP="00747703">
      <w:pPr>
        <w:pStyle w:val="NoSpacing"/>
        <w:ind w:left="720"/>
        <w:rPr>
          <w:rFonts w:ascii="Arial" w:hAnsi="Arial" w:cs="Arial"/>
          <w:b/>
        </w:rPr>
      </w:pPr>
    </w:p>
    <w:p w14:paraId="458DD4CA" w14:textId="77777777" w:rsidR="00A80A58" w:rsidRPr="00C80F28" w:rsidRDefault="00A80A58" w:rsidP="00C80F28">
      <w:pPr>
        <w:pStyle w:val="NoSpacing"/>
        <w:rPr>
          <w:rFonts w:ascii="Arial" w:hAnsi="Arial" w:cs="Arial"/>
        </w:rPr>
      </w:pPr>
      <w:r w:rsidRPr="00C80F28">
        <w:rPr>
          <w:rFonts w:ascii="Arial" w:hAnsi="Arial" w:cs="Arial"/>
        </w:rPr>
        <w:t xml:space="preserve">Learners aged 16-18 or aged 19-25 with a valid EHCP at the beginning of the academic year who live in a household that is in receipt of one of the benefits below are entitled to free college meals on days they attend study or activity that is part of their course. (i.e. work experience).  </w:t>
      </w:r>
    </w:p>
    <w:p w14:paraId="6D291A9A" w14:textId="77777777" w:rsidR="00A80A58" w:rsidRPr="00C80F28" w:rsidRDefault="00A80A58" w:rsidP="00C80F28">
      <w:pPr>
        <w:pStyle w:val="NoSpacing"/>
        <w:rPr>
          <w:rFonts w:ascii="Arial" w:hAnsi="Arial" w:cs="Arial"/>
        </w:rPr>
      </w:pPr>
    </w:p>
    <w:p w14:paraId="5CEE8240" w14:textId="77777777" w:rsidR="00A80A58" w:rsidRPr="00C80F28" w:rsidRDefault="00A80A58" w:rsidP="00C80F28">
      <w:pPr>
        <w:pStyle w:val="NoSpacing"/>
        <w:numPr>
          <w:ilvl w:val="0"/>
          <w:numId w:val="18"/>
        </w:numPr>
        <w:rPr>
          <w:rFonts w:ascii="Arial" w:hAnsi="Arial" w:cs="Arial"/>
        </w:rPr>
      </w:pPr>
      <w:r w:rsidRPr="00C80F28">
        <w:rPr>
          <w:rFonts w:ascii="Arial" w:hAnsi="Arial" w:cs="Arial"/>
        </w:rPr>
        <w:t>Income Support</w:t>
      </w:r>
    </w:p>
    <w:p w14:paraId="4507B847" w14:textId="77777777" w:rsidR="00A80A58" w:rsidRPr="00C80F28" w:rsidRDefault="00A80A58" w:rsidP="00C80F28">
      <w:pPr>
        <w:pStyle w:val="NoSpacing"/>
        <w:numPr>
          <w:ilvl w:val="0"/>
          <w:numId w:val="18"/>
        </w:numPr>
        <w:rPr>
          <w:rFonts w:ascii="Arial" w:hAnsi="Arial" w:cs="Arial"/>
        </w:rPr>
      </w:pPr>
      <w:r w:rsidRPr="00C80F28">
        <w:rPr>
          <w:rFonts w:ascii="Arial" w:hAnsi="Arial" w:cs="Arial"/>
        </w:rPr>
        <w:t>Income based Jobseekers Allowance</w:t>
      </w:r>
    </w:p>
    <w:p w14:paraId="54354C44" w14:textId="77777777" w:rsidR="00A80A58" w:rsidRPr="00C80F28" w:rsidRDefault="00A80A58" w:rsidP="00C80F28">
      <w:pPr>
        <w:pStyle w:val="NoSpacing"/>
        <w:numPr>
          <w:ilvl w:val="0"/>
          <w:numId w:val="18"/>
        </w:numPr>
        <w:rPr>
          <w:rFonts w:ascii="Arial" w:hAnsi="Arial" w:cs="Arial"/>
        </w:rPr>
      </w:pPr>
      <w:r w:rsidRPr="00C80F28">
        <w:rPr>
          <w:rFonts w:ascii="Arial" w:hAnsi="Arial" w:cs="Arial"/>
        </w:rPr>
        <w:t xml:space="preserve">Income related Employment Support Allowance </w:t>
      </w:r>
    </w:p>
    <w:p w14:paraId="1BBBA9B1" w14:textId="77777777" w:rsidR="00A80A58" w:rsidRPr="00C80F28" w:rsidRDefault="00A80A58" w:rsidP="00C80F28">
      <w:pPr>
        <w:pStyle w:val="NoSpacing"/>
        <w:numPr>
          <w:ilvl w:val="0"/>
          <w:numId w:val="18"/>
        </w:numPr>
        <w:rPr>
          <w:rFonts w:ascii="Arial" w:hAnsi="Arial" w:cs="Arial"/>
        </w:rPr>
      </w:pPr>
      <w:r w:rsidRPr="00C80F28">
        <w:rPr>
          <w:rFonts w:ascii="Arial" w:hAnsi="Arial" w:cs="Arial"/>
        </w:rPr>
        <w:t xml:space="preserve">Support under part IV of the immigration an Asylum Act 1999 </w:t>
      </w:r>
    </w:p>
    <w:p w14:paraId="0969AEBD" w14:textId="77777777" w:rsidR="00A80A58" w:rsidRPr="00C80F28" w:rsidRDefault="00A80A58" w:rsidP="00C80F28">
      <w:pPr>
        <w:pStyle w:val="NoSpacing"/>
        <w:numPr>
          <w:ilvl w:val="0"/>
          <w:numId w:val="18"/>
        </w:numPr>
        <w:rPr>
          <w:rFonts w:ascii="Arial" w:hAnsi="Arial" w:cs="Arial"/>
        </w:rPr>
      </w:pPr>
      <w:r w:rsidRPr="00C80F28">
        <w:rPr>
          <w:rFonts w:ascii="Arial" w:hAnsi="Arial" w:cs="Arial"/>
        </w:rPr>
        <w:t>The Guaranteed Element of Pension Credit</w:t>
      </w:r>
    </w:p>
    <w:p w14:paraId="36614E6B" w14:textId="77777777" w:rsidR="00A80A58" w:rsidRPr="00C80F28" w:rsidRDefault="00A80A58" w:rsidP="00C80F28">
      <w:pPr>
        <w:pStyle w:val="NoSpacing"/>
        <w:numPr>
          <w:ilvl w:val="0"/>
          <w:numId w:val="18"/>
        </w:numPr>
        <w:rPr>
          <w:rFonts w:ascii="Arial" w:hAnsi="Arial" w:cs="Arial"/>
        </w:rPr>
      </w:pPr>
      <w:r w:rsidRPr="00C80F28">
        <w:rPr>
          <w:rFonts w:ascii="Arial" w:hAnsi="Arial" w:cs="Arial"/>
        </w:rPr>
        <w:t>Child Tax Credit (provided they are not entitled to Working Tax Credit) and have an annual gross income of no more than £16,190 as assessed by Her Majesty’s Revenue and Customs.</w:t>
      </w:r>
    </w:p>
    <w:p w14:paraId="4E0A3CD5" w14:textId="77777777" w:rsidR="00A80A58" w:rsidRPr="00C80F28" w:rsidRDefault="00A80A58" w:rsidP="00C80F28">
      <w:pPr>
        <w:pStyle w:val="NoSpacing"/>
        <w:numPr>
          <w:ilvl w:val="0"/>
          <w:numId w:val="18"/>
        </w:numPr>
        <w:rPr>
          <w:rFonts w:ascii="Arial" w:hAnsi="Arial" w:cs="Arial"/>
        </w:rPr>
      </w:pPr>
      <w:r w:rsidRPr="00C80F28">
        <w:rPr>
          <w:rFonts w:ascii="Arial" w:hAnsi="Arial" w:cs="Arial"/>
        </w:rPr>
        <w:t xml:space="preserve">Working Tax Credit run-on – paid for 4 weeks after someone stops qualifying for Working Tax Credit </w:t>
      </w:r>
    </w:p>
    <w:p w14:paraId="79CC88AC" w14:textId="77777777" w:rsidR="00A80A58" w:rsidRPr="00C80F28" w:rsidRDefault="00A80A58" w:rsidP="00C80F28">
      <w:pPr>
        <w:pStyle w:val="NoSpacing"/>
        <w:numPr>
          <w:ilvl w:val="0"/>
          <w:numId w:val="18"/>
        </w:numPr>
        <w:rPr>
          <w:rFonts w:ascii="Arial" w:hAnsi="Arial" w:cs="Arial"/>
        </w:rPr>
      </w:pPr>
      <w:r w:rsidRPr="00C80F28">
        <w:rPr>
          <w:rFonts w:ascii="Arial" w:hAnsi="Arial" w:cs="Arial"/>
        </w:rPr>
        <w:t xml:space="preserve">Universal Credit with net earnings not exceeding the equivalent of £7,400 pa  </w:t>
      </w:r>
    </w:p>
    <w:p w14:paraId="36A431C2" w14:textId="77777777" w:rsidR="00A80A58" w:rsidRPr="00C80F28" w:rsidRDefault="00A80A58" w:rsidP="00C80F28">
      <w:pPr>
        <w:pStyle w:val="NoSpacing"/>
        <w:rPr>
          <w:rFonts w:ascii="Arial" w:hAnsi="Arial" w:cs="Arial"/>
        </w:rPr>
      </w:pPr>
    </w:p>
    <w:p w14:paraId="5415C24E" w14:textId="5EC1BB1E" w:rsidR="00A80A58" w:rsidRDefault="00A80A58" w:rsidP="00C80F28">
      <w:pPr>
        <w:pStyle w:val="NoSpacing"/>
        <w:rPr>
          <w:rFonts w:ascii="Arial" w:hAnsi="Arial" w:cs="Arial"/>
          <w:color w:val="FF0000"/>
        </w:rPr>
      </w:pPr>
      <w:r w:rsidRPr="00C80F28">
        <w:rPr>
          <w:rFonts w:ascii="Arial" w:hAnsi="Arial" w:cs="Arial"/>
        </w:rPr>
        <w:t xml:space="preserve">Meals provided will not exceed a maximum value of </w:t>
      </w:r>
      <w:r w:rsidRPr="0030629A">
        <w:rPr>
          <w:rFonts w:ascii="Arial" w:hAnsi="Arial" w:cs="Arial"/>
        </w:rPr>
        <w:t>£2.</w:t>
      </w:r>
      <w:r w:rsidR="00AD3791">
        <w:rPr>
          <w:rFonts w:ascii="Arial" w:hAnsi="Arial" w:cs="Arial"/>
        </w:rPr>
        <w:t>61</w:t>
      </w:r>
      <w:r w:rsidRPr="0030629A">
        <w:rPr>
          <w:rFonts w:ascii="Arial" w:hAnsi="Arial" w:cs="Arial"/>
        </w:rPr>
        <w:t xml:space="preserve"> </w:t>
      </w:r>
      <w:r w:rsidRPr="00C80F28">
        <w:rPr>
          <w:rFonts w:ascii="Arial" w:hAnsi="Arial" w:cs="Arial"/>
        </w:rPr>
        <w:t xml:space="preserve">per day and will be supplied through the college’s catering outlets. Alternative arrangements will only be made for </w:t>
      </w:r>
      <w:r w:rsidR="00747703">
        <w:rPr>
          <w:rFonts w:ascii="Arial" w:hAnsi="Arial" w:cs="Arial"/>
        </w:rPr>
        <w:t>learners</w:t>
      </w:r>
      <w:r w:rsidRPr="00C80F28">
        <w:rPr>
          <w:rFonts w:ascii="Arial" w:hAnsi="Arial" w:cs="Arial"/>
        </w:rPr>
        <w:t xml:space="preserve"> who are studying off site or in exceptional cases. </w:t>
      </w:r>
      <w:r w:rsidR="00C80F28" w:rsidRPr="00C80F28">
        <w:rPr>
          <w:rFonts w:ascii="Arial" w:hAnsi="Arial" w:cs="Arial"/>
        </w:rPr>
        <w:t>The Discretionary Bursary fund will be used to top-up the free meal funding rate of £</w:t>
      </w:r>
      <w:r w:rsidR="00C80F28" w:rsidRPr="0030629A">
        <w:rPr>
          <w:rFonts w:ascii="Arial" w:hAnsi="Arial" w:cs="Arial"/>
        </w:rPr>
        <w:t>2.</w:t>
      </w:r>
      <w:r w:rsidR="00AD3791">
        <w:rPr>
          <w:rFonts w:ascii="Arial" w:hAnsi="Arial" w:cs="Arial"/>
        </w:rPr>
        <w:t>61</w:t>
      </w:r>
      <w:r w:rsidR="00C80F28" w:rsidRPr="0030629A">
        <w:rPr>
          <w:rFonts w:ascii="Arial" w:hAnsi="Arial" w:cs="Arial"/>
        </w:rPr>
        <w:t xml:space="preserve"> to £</w:t>
      </w:r>
      <w:r w:rsidR="00AD3791">
        <w:rPr>
          <w:rFonts w:ascii="Arial" w:hAnsi="Arial" w:cs="Arial"/>
        </w:rPr>
        <w:t>4.00</w:t>
      </w:r>
      <w:r w:rsidR="00C80F28" w:rsidRPr="00E24AB1">
        <w:rPr>
          <w:rFonts w:ascii="Arial" w:hAnsi="Arial" w:cs="Arial"/>
          <w:color w:val="FF0000"/>
        </w:rPr>
        <w:t>.</w:t>
      </w:r>
    </w:p>
    <w:p w14:paraId="34D9EA1A" w14:textId="52B3BCA0" w:rsidR="00F7090B" w:rsidRDefault="00F7090B" w:rsidP="00C80F28">
      <w:pPr>
        <w:pStyle w:val="NoSpacing"/>
        <w:rPr>
          <w:rFonts w:ascii="Arial" w:hAnsi="Arial" w:cs="Arial"/>
          <w:color w:val="FF0000"/>
        </w:rPr>
      </w:pPr>
    </w:p>
    <w:p w14:paraId="23ABD506" w14:textId="77777777" w:rsidR="00886BD6" w:rsidRPr="00C80F28" w:rsidRDefault="00886BD6" w:rsidP="00C80F28">
      <w:pPr>
        <w:pStyle w:val="NoSpacing"/>
        <w:rPr>
          <w:rFonts w:ascii="Arial" w:hAnsi="Arial" w:cs="Arial"/>
        </w:rPr>
      </w:pPr>
    </w:p>
    <w:p w14:paraId="61CC1A94" w14:textId="77777777" w:rsidR="00A80A58" w:rsidRPr="00C80F28" w:rsidRDefault="00A80A58" w:rsidP="00C80F28">
      <w:pPr>
        <w:pStyle w:val="NoSpacing"/>
        <w:rPr>
          <w:rFonts w:ascii="Arial" w:hAnsi="Arial" w:cs="Arial"/>
          <w:b/>
        </w:rPr>
      </w:pPr>
    </w:p>
    <w:p w14:paraId="6E247D59" w14:textId="77777777" w:rsidR="00A80A58" w:rsidRPr="00C80F28" w:rsidRDefault="00A80A58" w:rsidP="00747703">
      <w:pPr>
        <w:pStyle w:val="NoSpacing"/>
        <w:numPr>
          <w:ilvl w:val="0"/>
          <w:numId w:val="20"/>
        </w:numPr>
        <w:rPr>
          <w:rFonts w:ascii="Arial" w:hAnsi="Arial" w:cs="Arial"/>
          <w:b/>
        </w:rPr>
      </w:pPr>
      <w:r w:rsidRPr="00C80F28">
        <w:rPr>
          <w:rFonts w:ascii="Arial" w:hAnsi="Arial" w:cs="Arial"/>
          <w:b/>
        </w:rPr>
        <w:t>Help towards childcare costs</w:t>
      </w:r>
    </w:p>
    <w:p w14:paraId="08E9BA85" w14:textId="77777777" w:rsidR="00A80A58" w:rsidRPr="00C80F28" w:rsidRDefault="00A80A58" w:rsidP="00C80F28">
      <w:pPr>
        <w:pStyle w:val="NoSpacing"/>
        <w:rPr>
          <w:rFonts w:ascii="Arial" w:hAnsi="Arial" w:cs="Arial"/>
          <w:bCs/>
        </w:rPr>
      </w:pPr>
    </w:p>
    <w:p w14:paraId="09A5251C" w14:textId="27411790" w:rsidR="00A80A58" w:rsidRPr="00C80F28" w:rsidRDefault="00A80A58" w:rsidP="00C80F28">
      <w:pPr>
        <w:pStyle w:val="NoSpacing"/>
        <w:rPr>
          <w:rFonts w:ascii="Arial" w:hAnsi="Arial" w:cs="Arial"/>
        </w:rPr>
      </w:pPr>
      <w:r w:rsidRPr="00C80F28">
        <w:rPr>
          <w:rFonts w:ascii="Arial" w:hAnsi="Arial" w:cs="Arial"/>
        </w:rPr>
        <w:t xml:space="preserve">Learners aged under 20 at the start of the academic year should apply for support with childcare costs through the Care to Learn scheme. The </w:t>
      </w:r>
      <w:r w:rsidR="002332AA" w:rsidRPr="0030629A">
        <w:rPr>
          <w:rFonts w:ascii="Arial" w:hAnsi="Arial" w:cs="Arial"/>
        </w:rPr>
        <w:t xml:space="preserve">Student Finance </w:t>
      </w:r>
      <w:r w:rsidRPr="00C80F28">
        <w:rPr>
          <w:rFonts w:ascii="Arial" w:hAnsi="Arial" w:cs="Arial"/>
        </w:rPr>
        <w:t>Team can support learners with applications to Care to Learn.</w:t>
      </w:r>
      <w:r w:rsidR="00AD3791">
        <w:rPr>
          <w:rFonts w:ascii="Arial" w:hAnsi="Arial" w:cs="Arial"/>
        </w:rPr>
        <w:t xml:space="preserve"> Payments and applications must be made via the student finance team and no longer through the student bursary support service. </w:t>
      </w:r>
      <w:r w:rsidRPr="00C80F28">
        <w:rPr>
          <w:rFonts w:ascii="Arial" w:hAnsi="Arial" w:cs="Arial"/>
        </w:rPr>
        <w:t xml:space="preserve">  </w:t>
      </w:r>
    </w:p>
    <w:p w14:paraId="1F8D5DC5" w14:textId="77777777" w:rsidR="00A80A58" w:rsidRPr="00C80F28" w:rsidRDefault="00A80A58" w:rsidP="00C80F28">
      <w:pPr>
        <w:pStyle w:val="NoSpacing"/>
        <w:rPr>
          <w:rFonts w:ascii="Arial" w:hAnsi="Arial" w:cs="Arial"/>
        </w:rPr>
      </w:pPr>
    </w:p>
    <w:p w14:paraId="0D5303B2" w14:textId="77777777" w:rsidR="00A80A58" w:rsidRPr="00C80F28" w:rsidRDefault="00A80A58" w:rsidP="00C80F28">
      <w:pPr>
        <w:pStyle w:val="NoSpacing"/>
        <w:rPr>
          <w:rFonts w:ascii="Arial" w:hAnsi="Arial" w:cs="Arial"/>
        </w:rPr>
      </w:pPr>
      <w:r w:rsidRPr="00C80F28">
        <w:rPr>
          <w:rFonts w:ascii="Arial" w:hAnsi="Arial" w:cs="Arial"/>
        </w:rPr>
        <w:t xml:space="preserve">Learners aged over 20 can apply for support with childcare costs through the Discretionary Learner Support Fund / Advanced Learner Loans Bursary.  Where funding is awarded towards the cost of childcare with a registered provider. </w:t>
      </w:r>
    </w:p>
    <w:p w14:paraId="44C16ED3" w14:textId="77777777" w:rsidR="00A80A58" w:rsidRPr="00C80F28" w:rsidRDefault="00A80A58" w:rsidP="00C80F28">
      <w:pPr>
        <w:pStyle w:val="NoSpacing"/>
        <w:rPr>
          <w:rFonts w:ascii="Arial" w:hAnsi="Arial" w:cs="Arial"/>
        </w:rPr>
      </w:pPr>
    </w:p>
    <w:p w14:paraId="4BC5601B" w14:textId="0B79169E" w:rsidR="00A80A58" w:rsidRDefault="00A80A58" w:rsidP="00C80F28">
      <w:pPr>
        <w:pStyle w:val="NoSpacing"/>
        <w:rPr>
          <w:rFonts w:ascii="Arial" w:hAnsi="Arial" w:cs="Arial"/>
        </w:rPr>
      </w:pPr>
      <w:r w:rsidRPr="00C80F28">
        <w:rPr>
          <w:rFonts w:ascii="Arial" w:hAnsi="Arial" w:cs="Arial"/>
        </w:rPr>
        <w:t xml:space="preserve">Funds will be paid to </w:t>
      </w:r>
      <w:r w:rsidR="000A3395">
        <w:rPr>
          <w:rFonts w:ascii="Arial" w:hAnsi="Arial" w:cs="Arial"/>
        </w:rPr>
        <w:t xml:space="preserve">the childcare </w:t>
      </w:r>
      <w:r w:rsidR="00747703">
        <w:rPr>
          <w:rFonts w:ascii="Arial" w:hAnsi="Arial" w:cs="Arial"/>
        </w:rPr>
        <w:t>provider,</w:t>
      </w:r>
      <w:r w:rsidRPr="00C80F28">
        <w:rPr>
          <w:rFonts w:ascii="Arial" w:hAnsi="Arial" w:cs="Arial"/>
        </w:rPr>
        <w:t xml:space="preserve"> and </w:t>
      </w:r>
      <w:r w:rsidR="000A3395">
        <w:rPr>
          <w:rFonts w:ascii="Arial" w:hAnsi="Arial" w:cs="Arial"/>
        </w:rPr>
        <w:t xml:space="preserve">they </w:t>
      </w:r>
      <w:r w:rsidRPr="00C80F28">
        <w:rPr>
          <w:rFonts w:ascii="Arial" w:hAnsi="Arial" w:cs="Arial"/>
        </w:rPr>
        <w:t xml:space="preserve">must be </w:t>
      </w:r>
      <w:r w:rsidR="002332AA" w:rsidRPr="00C80F28">
        <w:rPr>
          <w:rFonts w:ascii="Arial" w:hAnsi="Arial" w:cs="Arial"/>
        </w:rPr>
        <w:t xml:space="preserve">OFSTED </w:t>
      </w:r>
      <w:r w:rsidRPr="00C80F28">
        <w:rPr>
          <w:rFonts w:ascii="Arial" w:hAnsi="Arial" w:cs="Arial"/>
        </w:rPr>
        <w:t xml:space="preserve">registered.  </w:t>
      </w:r>
    </w:p>
    <w:p w14:paraId="0548458F" w14:textId="77777777" w:rsidR="00332760" w:rsidRPr="00C80F28" w:rsidRDefault="00332760" w:rsidP="00C80F28">
      <w:pPr>
        <w:pStyle w:val="NoSpacing"/>
        <w:rPr>
          <w:rFonts w:ascii="Arial" w:hAnsi="Arial" w:cs="Arial"/>
        </w:rPr>
      </w:pPr>
    </w:p>
    <w:p w14:paraId="6E04C246" w14:textId="1E92E61F" w:rsidR="00A80A58" w:rsidRDefault="00A80A58" w:rsidP="00C80F28">
      <w:pPr>
        <w:pStyle w:val="NoSpacing"/>
        <w:rPr>
          <w:rFonts w:ascii="Arial" w:hAnsi="Arial" w:cs="Arial"/>
        </w:rPr>
      </w:pPr>
      <w:r w:rsidRPr="00C80F28">
        <w:rPr>
          <w:rFonts w:ascii="Arial" w:hAnsi="Arial" w:cs="Arial"/>
        </w:rPr>
        <w:t xml:space="preserve">The amount of funding available for childcare is limited and there is no guaranteed entitlement to the funds.    </w:t>
      </w:r>
    </w:p>
    <w:p w14:paraId="0492F14E" w14:textId="77777777" w:rsidR="00747703" w:rsidRPr="00C80F28" w:rsidRDefault="00747703" w:rsidP="00C80F28">
      <w:pPr>
        <w:pStyle w:val="NoSpacing"/>
        <w:rPr>
          <w:rFonts w:ascii="Arial" w:hAnsi="Arial" w:cs="Arial"/>
        </w:rPr>
      </w:pPr>
    </w:p>
    <w:p w14:paraId="479DE8CC" w14:textId="30131E21" w:rsidR="00A80A58" w:rsidRPr="00C80F28" w:rsidRDefault="00A80A58" w:rsidP="00C80F28">
      <w:pPr>
        <w:pStyle w:val="NoSpacing"/>
        <w:rPr>
          <w:rFonts w:ascii="Arial" w:hAnsi="Arial" w:cs="Arial"/>
        </w:rPr>
      </w:pPr>
      <w:r w:rsidRPr="00C80F28">
        <w:rPr>
          <w:rFonts w:ascii="Arial" w:hAnsi="Arial" w:cs="Arial"/>
        </w:rPr>
        <w:t xml:space="preserve">Learners </w:t>
      </w:r>
      <w:r w:rsidR="00E24AB1" w:rsidRPr="0030629A">
        <w:rPr>
          <w:rFonts w:ascii="Arial" w:hAnsi="Arial" w:cs="Arial"/>
        </w:rPr>
        <w:t>must</w:t>
      </w:r>
      <w:r w:rsidRPr="0030629A">
        <w:rPr>
          <w:rFonts w:ascii="Arial" w:hAnsi="Arial" w:cs="Arial"/>
        </w:rPr>
        <w:t xml:space="preserve"> use </w:t>
      </w:r>
      <w:r w:rsidRPr="00C80F28">
        <w:rPr>
          <w:rFonts w:ascii="Arial" w:hAnsi="Arial" w:cs="Arial"/>
        </w:rPr>
        <w:t xml:space="preserve">their free 2 and 3-year-old childcare funding towards the cost of the childcare. This will be covered in the application form sent to the Childcare Providers to complete.   </w:t>
      </w:r>
    </w:p>
    <w:p w14:paraId="4ACEB540" w14:textId="68FE04CA" w:rsidR="008514C3" w:rsidRDefault="008514C3" w:rsidP="00C80F28">
      <w:pPr>
        <w:pStyle w:val="NoSpacing"/>
        <w:rPr>
          <w:rFonts w:ascii="Arial" w:hAnsi="Arial" w:cs="Arial"/>
        </w:rPr>
      </w:pPr>
    </w:p>
    <w:p w14:paraId="740AB024" w14:textId="11EF62A5" w:rsidR="001C24C5" w:rsidRDefault="001C24C5" w:rsidP="00C80F28">
      <w:pPr>
        <w:pStyle w:val="NoSpacing"/>
        <w:rPr>
          <w:rFonts w:ascii="Arial" w:hAnsi="Arial" w:cs="Arial"/>
        </w:rPr>
      </w:pPr>
      <w:r>
        <w:rPr>
          <w:rFonts w:ascii="Arial" w:hAnsi="Arial" w:cs="Arial"/>
        </w:rPr>
        <w:t>Childcare funding is</w:t>
      </w:r>
      <w:r w:rsidR="00747703">
        <w:rPr>
          <w:rFonts w:ascii="Arial" w:hAnsi="Arial" w:cs="Arial"/>
        </w:rPr>
        <w:t xml:space="preserve"> </w:t>
      </w:r>
      <w:r>
        <w:rPr>
          <w:rFonts w:ascii="Arial" w:hAnsi="Arial" w:cs="Arial"/>
        </w:rPr>
        <w:t>only available for timetabled days</w:t>
      </w:r>
      <w:r w:rsidR="00960ECC">
        <w:rPr>
          <w:rFonts w:ascii="Arial" w:hAnsi="Arial" w:cs="Arial"/>
        </w:rPr>
        <w:t xml:space="preserve"> and during term time</w:t>
      </w:r>
      <w:r>
        <w:rPr>
          <w:rFonts w:ascii="Arial" w:hAnsi="Arial" w:cs="Arial"/>
        </w:rPr>
        <w:t>.</w:t>
      </w:r>
      <w:r w:rsidR="00332760">
        <w:rPr>
          <w:rFonts w:ascii="Arial" w:hAnsi="Arial" w:cs="Arial"/>
        </w:rPr>
        <w:t xml:space="preserve"> </w:t>
      </w:r>
      <w:r w:rsidR="00747703">
        <w:rPr>
          <w:rFonts w:ascii="Arial" w:hAnsi="Arial" w:cs="Arial"/>
        </w:rPr>
        <w:t xml:space="preserve">Support with </w:t>
      </w:r>
      <w:r w:rsidR="00A50B3E">
        <w:rPr>
          <w:rFonts w:ascii="Arial" w:hAnsi="Arial" w:cs="Arial"/>
        </w:rPr>
        <w:t xml:space="preserve">deposits </w:t>
      </w:r>
      <w:r w:rsidR="00747703">
        <w:rPr>
          <w:rFonts w:ascii="Arial" w:hAnsi="Arial" w:cs="Arial"/>
        </w:rPr>
        <w:t>is</w:t>
      </w:r>
      <w:r w:rsidR="00A50B3E">
        <w:rPr>
          <w:rFonts w:ascii="Arial" w:hAnsi="Arial" w:cs="Arial"/>
        </w:rPr>
        <w:t xml:space="preserve"> not supported. </w:t>
      </w:r>
    </w:p>
    <w:p w14:paraId="57C3D5E0" w14:textId="0EF0E34C" w:rsidR="00332760" w:rsidRDefault="00332760" w:rsidP="00C80F28">
      <w:pPr>
        <w:pStyle w:val="NoSpacing"/>
        <w:rPr>
          <w:rFonts w:ascii="Arial" w:hAnsi="Arial" w:cs="Arial"/>
        </w:rPr>
      </w:pPr>
    </w:p>
    <w:p w14:paraId="4A4C83D2" w14:textId="044D990F" w:rsidR="00332760" w:rsidRPr="0030629A" w:rsidRDefault="00332760" w:rsidP="00C80F28">
      <w:pPr>
        <w:pStyle w:val="NoSpacing"/>
        <w:rPr>
          <w:rFonts w:ascii="Arial" w:hAnsi="Arial" w:cs="Arial"/>
        </w:rPr>
      </w:pPr>
      <w:r w:rsidRPr="0030629A">
        <w:rPr>
          <w:rFonts w:ascii="Arial" w:hAnsi="Arial" w:cs="Arial"/>
        </w:rPr>
        <w:t>Failure to maintain an attendance percentage of 90% will result in your childcare provider not being paid for that specific calendar month</w:t>
      </w:r>
      <w:r w:rsidR="0052087F" w:rsidRPr="0030629A">
        <w:rPr>
          <w:rFonts w:ascii="Arial" w:hAnsi="Arial" w:cs="Arial"/>
        </w:rPr>
        <w:t xml:space="preserve">. As a result, that may further </w:t>
      </w:r>
      <w:r w:rsidRPr="0030629A">
        <w:rPr>
          <w:rFonts w:ascii="Arial" w:hAnsi="Arial" w:cs="Arial"/>
        </w:rPr>
        <w:t>impact on your child’s placement.</w:t>
      </w:r>
    </w:p>
    <w:p w14:paraId="275D647B" w14:textId="77777777" w:rsidR="00A50B3E" w:rsidRPr="00C80F28" w:rsidRDefault="00A50B3E" w:rsidP="00C80F28">
      <w:pPr>
        <w:pStyle w:val="NoSpacing"/>
        <w:rPr>
          <w:rFonts w:ascii="Arial" w:hAnsi="Arial" w:cs="Arial"/>
        </w:rPr>
      </w:pPr>
    </w:p>
    <w:p w14:paraId="39800382" w14:textId="4BDA1B56" w:rsidR="00A80A58" w:rsidRDefault="00A80A58" w:rsidP="00747703">
      <w:pPr>
        <w:pStyle w:val="NoSpacing"/>
        <w:numPr>
          <w:ilvl w:val="0"/>
          <w:numId w:val="20"/>
        </w:numPr>
        <w:rPr>
          <w:rFonts w:ascii="Arial" w:hAnsi="Arial" w:cs="Arial"/>
          <w:b/>
        </w:rPr>
      </w:pPr>
      <w:r w:rsidRPr="00C80F28">
        <w:rPr>
          <w:rFonts w:ascii="Arial" w:hAnsi="Arial" w:cs="Arial"/>
          <w:b/>
        </w:rPr>
        <w:t xml:space="preserve">Help towards course fees  </w:t>
      </w:r>
    </w:p>
    <w:p w14:paraId="09577F7F" w14:textId="77777777" w:rsidR="00747703" w:rsidRPr="00C80F28" w:rsidRDefault="00747703" w:rsidP="00747703">
      <w:pPr>
        <w:pStyle w:val="NoSpacing"/>
        <w:ind w:left="720"/>
        <w:rPr>
          <w:rFonts w:ascii="Arial" w:hAnsi="Arial" w:cs="Arial"/>
          <w:b/>
        </w:rPr>
      </w:pPr>
    </w:p>
    <w:p w14:paraId="7F136518" w14:textId="77777777" w:rsidR="00A80A58" w:rsidRPr="00C80F28" w:rsidRDefault="00A80A58" w:rsidP="00C80F28">
      <w:pPr>
        <w:pStyle w:val="NoSpacing"/>
        <w:rPr>
          <w:rFonts w:ascii="Arial" w:hAnsi="Arial" w:cs="Arial"/>
        </w:rPr>
      </w:pPr>
      <w:r w:rsidRPr="00C80F28">
        <w:rPr>
          <w:rFonts w:ascii="Arial" w:hAnsi="Arial" w:cs="Arial"/>
        </w:rPr>
        <w:t xml:space="preserve">There are limited funds available to assist with the cost of tuition fees for 19+ learners who are not fully funded for their course costs. Learners will only be supported where alternative means of financial support are not available and exceptional circumstances can be evidenced. </w:t>
      </w:r>
    </w:p>
    <w:p w14:paraId="261A45E0" w14:textId="77777777" w:rsidR="00A80A58" w:rsidRPr="00C80F28" w:rsidRDefault="00A80A58" w:rsidP="00C80F28">
      <w:pPr>
        <w:pStyle w:val="NoSpacing"/>
        <w:rPr>
          <w:rFonts w:ascii="Arial" w:hAnsi="Arial" w:cs="Arial"/>
        </w:rPr>
      </w:pPr>
    </w:p>
    <w:p w14:paraId="58F77B77" w14:textId="45EC8D8C" w:rsidR="00F81F6F" w:rsidRPr="00C80F28" w:rsidRDefault="00A80A58" w:rsidP="00C80F28">
      <w:pPr>
        <w:pStyle w:val="NoSpacing"/>
        <w:rPr>
          <w:rFonts w:ascii="Arial" w:hAnsi="Arial" w:cs="Arial"/>
        </w:rPr>
      </w:pPr>
      <w:r w:rsidRPr="00C80F28">
        <w:rPr>
          <w:rFonts w:ascii="Arial" w:hAnsi="Arial" w:cs="Arial"/>
        </w:rPr>
        <w:t>Each application will be considered on its own merit within the College criteria/budget constraints.  Learners who are eligible for an Advanced Learner Loan are unable to apply for financial support with course fees.</w:t>
      </w:r>
    </w:p>
    <w:p w14:paraId="29485CF3" w14:textId="77777777" w:rsidR="00F81F6F" w:rsidRPr="00C80F28" w:rsidRDefault="00F81F6F" w:rsidP="00C80F28">
      <w:pPr>
        <w:pStyle w:val="NoSpacing"/>
        <w:rPr>
          <w:rFonts w:ascii="Arial" w:hAnsi="Arial" w:cs="Arial"/>
        </w:rPr>
      </w:pPr>
    </w:p>
    <w:p w14:paraId="58228C26" w14:textId="7CC2E906" w:rsidR="00A80A58" w:rsidRDefault="00A80A58" w:rsidP="00747703">
      <w:pPr>
        <w:pStyle w:val="NoSpacing"/>
        <w:numPr>
          <w:ilvl w:val="0"/>
          <w:numId w:val="20"/>
        </w:numPr>
        <w:rPr>
          <w:rFonts w:ascii="Arial" w:hAnsi="Arial" w:cs="Arial"/>
          <w:b/>
        </w:rPr>
      </w:pPr>
      <w:r w:rsidRPr="00C80F28">
        <w:rPr>
          <w:rFonts w:ascii="Arial" w:hAnsi="Arial" w:cs="Arial"/>
          <w:b/>
        </w:rPr>
        <w:t>Help for vulnerable students</w:t>
      </w:r>
    </w:p>
    <w:p w14:paraId="5C728CBB" w14:textId="77777777" w:rsidR="00747703" w:rsidRPr="00C80F28" w:rsidRDefault="00747703" w:rsidP="00C80F28">
      <w:pPr>
        <w:pStyle w:val="NoSpacing"/>
        <w:rPr>
          <w:rFonts w:ascii="Arial" w:hAnsi="Arial" w:cs="Arial"/>
          <w:b/>
        </w:rPr>
      </w:pPr>
    </w:p>
    <w:p w14:paraId="2D45E1B1" w14:textId="522EF152" w:rsidR="00ED6C28" w:rsidRDefault="00A80A58" w:rsidP="00C80F28">
      <w:pPr>
        <w:pStyle w:val="NoSpacing"/>
        <w:rPr>
          <w:rFonts w:ascii="Arial" w:hAnsi="Arial" w:cs="Arial"/>
        </w:rPr>
      </w:pPr>
      <w:r w:rsidRPr="00C80F28">
        <w:rPr>
          <w:rFonts w:ascii="Arial" w:hAnsi="Arial" w:cs="Arial"/>
        </w:rPr>
        <w:t>Learners aged 16-1</w:t>
      </w:r>
      <w:r w:rsidR="008B2980">
        <w:rPr>
          <w:rFonts w:ascii="Arial" w:hAnsi="Arial" w:cs="Arial"/>
        </w:rPr>
        <w:t>8</w:t>
      </w:r>
      <w:r w:rsidRPr="00C80F28">
        <w:rPr>
          <w:rFonts w:ascii="Arial" w:hAnsi="Arial" w:cs="Arial"/>
        </w:rPr>
        <w:t xml:space="preserve"> in defined vulnerable groups </w:t>
      </w:r>
      <w:r w:rsidR="00ED6C28">
        <w:rPr>
          <w:rFonts w:ascii="Arial" w:hAnsi="Arial" w:cs="Arial"/>
        </w:rPr>
        <w:t>may</w:t>
      </w:r>
      <w:r w:rsidRPr="00C80F28">
        <w:rPr>
          <w:rFonts w:ascii="Arial" w:hAnsi="Arial" w:cs="Arial"/>
        </w:rPr>
        <w:t xml:space="preserve"> be entitled to a vulnerable bursary of </w:t>
      </w:r>
      <w:r w:rsidR="0040245B">
        <w:rPr>
          <w:rFonts w:ascii="Arial" w:hAnsi="Arial" w:cs="Arial"/>
        </w:rPr>
        <w:t xml:space="preserve">up </w:t>
      </w:r>
      <w:r w:rsidR="0040245B" w:rsidRPr="00981579">
        <w:rPr>
          <w:rFonts w:ascii="Arial" w:hAnsi="Arial" w:cs="Arial"/>
        </w:rPr>
        <w:t xml:space="preserve">to </w:t>
      </w:r>
      <w:r w:rsidRPr="00981579">
        <w:rPr>
          <w:rFonts w:ascii="Arial" w:hAnsi="Arial" w:cs="Arial"/>
        </w:rPr>
        <w:t>£1200 (pro-rata according to length of course and hours of attendance).</w:t>
      </w:r>
      <w:r w:rsidR="00ED6C28" w:rsidRPr="00981579">
        <w:rPr>
          <w:rFonts w:ascii="Arial" w:hAnsi="Arial" w:cs="Arial"/>
        </w:rPr>
        <w:t xml:space="preserve"> Learners should be aware that their application for bursary support may result in no award or a limited award.</w:t>
      </w:r>
      <w:r w:rsidR="00AD3791" w:rsidRPr="00981579">
        <w:rPr>
          <w:rFonts w:ascii="Arial" w:hAnsi="Arial" w:cs="Arial"/>
        </w:rPr>
        <w:t xml:space="preserve"> </w:t>
      </w:r>
      <w:r w:rsidR="00F7090B" w:rsidRPr="00981579">
        <w:rPr>
          <w:rFonts w:ascii="Arial" w:hAnsi="Arial" w:cs="Arial"/>
        </w:rPr>
        <w:t>The amount awarded is based on actual costs directly related to the student’s course requirements, including travel, equipment, meals, and any other necessary expenses specific to their programme of study.</w:t>
      </w:r>
    </w:p>
    <w:p w14:paraId="4B077D10" w14:textId="77777777" w:rsidR="00ED6C28" w:rsidRDefault="00ED6C28" w:rsidP="00C80F28">
      <w:pPr>
        <w:pStyle w:val="NoSpacing"/>
        <w:rPr>
          <w:rFonts w:ascii="Arial" w:hAnsi="Arial" w:cs="Arial"/>
        </w:rPr>
      </w:pPr>
    </w:p>
    <w:p w14:paraId="40677EA6" w14:textId="58C9A68E" w:rsidR="00893DC4" w:rsidRPr="00C80F28" w:rsidRDefault="00A80A58" w:rsidP="00C80F28">
      <w:pPr>
        <w:pStyle w:val="NoSpacing"/>
        <w:rPr>
          <w:rFonts w:ascii="Arial" w:hAnsi="Arial" w:cs="Arial"/>
        </w:rPr>
      </w:pPr>
      <w:r w:rsidRPr="00C80F28">
        <w:rPr>
          <w:rFonts w:ascii="Arial" w:hAnsi="Arial" w:cs="Arial"/>
        </w:rPr>
        <w:t xml:space="preserve">The defined vulnerable groups are:  </w:t>
      </w:r>
    </w:p>
    <w:p w14:paraId="5D726EE9" w14:textId="77777777" w:rsidR="00893DC4" w:rsidRPr="00C80F28" w:rsidRDefault="00893DC4" w:rsidP="00C80F28">
      <w:pPr>
        <w:pStyle w:val="NoSpacing"/>
        <w:rPr>
          <w:rFonts w:ascii="Arial" w:hAnsi="Arial" w:cs="Arial"/>
        </w:rPr>
      </w:pPr>
    </w:p>
    <w:p w14:paraId="0A15BADD" w14:textId="77777777" w:rsidR="00893DC4" w:rsidRPr="00C80F28" w:rsidRDefault="00893DC4" w:rsidP="00C80F28">
      <w:pPr>
        <w:pStyle w:val="NoSpacing"/>
        <w:numPr>
          <w:ilvl w:val="0"/>
          <w:numId w:val="19"/>
        </w:numPr>
        <w:rPr>
          <w:rFonts w:ascii="Arial" w:hAnsi="Arial" w:cs="Arial"/>
        </w:rPr>
      </w:pPr>
      <w:r w:rsidRPr="00C80F28">
        <w:rPr>
          <w:rFonts w:ascii="Arial" w:hAnsi="Arial" w:cs="Arial"/>
        </w:rPr>
        <w:t xml:space="preserve">Learners </w:t>
      </w:r>
      <w:r w:rsidR="00A80A58" w:rsidRPr="00C80F28">
        <w:rPr>
          <w:rFonts w:ascii="Arial" w:hAnsi="Arial" w:cs="Arial"/>
        </w:rPr>
        <w:t>in the care of the Local Authority including unaccompanied asylum seek</w:t>
      </w:r>
      <w:r w:rsidRPr="00C80F28">
        <w:rPr>
          <w:rFonts w:ascii="Arial" w:hAnsi="Arial" w:cs="Arial"/>
        </w:rPr>
        <w:t>ers</w:t>
      </w:r>
    </w:p>
    <w:p w14:paraId="7EAE5812" w14:textId="77777777" w:rsidR="00893DC4" w:rsidRPr="00C80F28" w:rsidRDefault="00893DC4" w:rsidP="00C80F28">
      <w:pPr>
        <w:pStyle w:val="NoSpacing"/>
        <w:numPr>
          <w:ilvl w:val="0"/>
          <w:numId w:val="19"/>
        </w:numPr>
        <w:rPr>
          <w:rFonts w:ascii="Arial" w:hAnsi="Arial" w:cs="Arial"/>
        </w:rPr>
      </w:pPr>
      <w:r w:rsidRPr="00C80F28">
        <w:rPr>
          <w:rFonts w:ascii="Arial" w:hAnsi="Arial" w:cs="Arial"/>
        </w:rPr>
        <w:t>Learners l</w:t>
      </w:r>
      <w:r w:rsidR="00A80A58" w:rsidRPr="00C80F28">
        <w:rPr>
          <w:rFonts w:ascii="Arial" w:hAnsi="Arial" w:cs="Arial"/>
        </w:rPr>
        <w:t xml:space="preserve">eaving care. </w:t>
      </w:r>
    </w:p>
    <w:p w14:paraId="017595B1" w14:textId="77777777" w:rsidR="00893DC4" w:rsidRPr="00C80F28" w:rsidRDefault="00893DC4" w:rsidP="00C80F28">
      <w:pPr>
        <w:pStyle w:val="NoSpacing"/>
        <w:numPr>
          <w:ilvl w:val="0"/>
          <w:numId w:val="19"/>
        </w:numPr>
        <w:rPr>
          <w:rFonts w:ascii="Arial" w:hAnsi="Arial" w:cs="Arial"/>
        </w:rPr>
      </w:pPr>
      <w:r w:rsidRPr="00C80F28">
        <w:rPr>
          <w:rFonts w:ascii="Arial" w:hAnsi="Arial" w:cs="Arial"/>
        </w:rPr>
        <w:t xml:space="preserve">Learners </w:t>
      </w:r>
      <w:r w:rsidR="00A80A58" w:rsidRPr="00C80F28">
        <w:rPr>
          <w:rFonts w:ascii="Arial" w:hAnsi="Arial" w:cs="Arial"/>
        </w:rPr>
        <w:t xml:space="preserve">living independently and in receipt of Income Support or the equivalent Universal Credit </w:t>
      </w:r>
    </w:p>
    <w:p w14:paraId="16FC5130" w14:textId="3FFF2971" w:rsidR="00893DC4" w:rsidRDefault="00893DC4" w:rsidP="00C80F28">
      <w:pPr>
        <w:pStyle w:val="NoSpacing"/>
        <w:numPr>
          <w:ilvl w:val="0"/>
          <w:numId w:val="19"/>
        </w:numPr>
        <w:rPr>
          <w:rFonts w:ascii="Arial" w:hAnsi="Arial" w:cs="Arial"/>
        </w:rPr>
      </w:pPr>
      <w:r w:rsidRPr="00C80F28">
        <w:rPr>
          <w:rFonts w:ascii="Arial" w:hAnsi="Arial" w:cs="Arial"/>
        </w:rPr>
        <w:lastRenderedPageBreak/>
        <w:t xml:space="preserve">Learners </w:t>
      </w:r>
      <w:r w:rsidR="00A80A58" w:rsidRPr="00C80F28">
        <w:rPr>
          <w:rFonts w:ascii="Arial" w:hAnsi="Arial" w:cs="Arial"/>
        </w:rPr>
        <w:t>in receipt of both Disability Living Allowance (or the new Personal Independence Payment) and Employment Support Allowance (or Universal Credit as a replacement for ESA)</w:t>
      </w:r>
    </w:p>
    <w:p w14:paraId="68C36684" w14:textId="77777777" w:rsidR="00893DC4" w:rsidRPr="00C80F28" w:rsidRDefault="00893DC4" w:rsidP="00C80F28">
      <w:pPr>
        <w:pStyle w:val="NoSpacing"/>
        <w:rPr>
          <w:rFonts w:ascii="Arial" w:hAnsi="Arial" w:cs="Arial"/>
        </w:rPr>
      </w:pPr>
    </w:p>
    <w:p w14:paraId="2B40D79E" w14:textId="30BBB3B2" w:rsidR="00A663B2" w:rsidRDefault="00893DC4" w:rsidP="00C80F28">
      <w:pPr>
        <w:pStyle w:val="NoSpacing"/>
        <w:rPr>
          <w:rFonts w:ascii="Arial" w:hAnsi="Arial" w:cs="Arial"/>
        </w:rPr>
      </w:pPr>
      <w:r w:rsidRPr="00C80F28">
        <w:rPr>
          <w:rFonts w:ascii="Arial" w:hAnsi="Arial" w:cs="Arial"/>
        </w:rPr>
        <w:t>Learners</w:t>
      </w:r>
      <w:r w:rsidR="00A80A58" w:rsidRPr="00C80F28">
        <w:rPr>
          <w:rFonts w:ascii="Arial" w:hAnsi="Arial" w:cs="Arial"/>
        </w:rPr>
        <w:t xml:space="preserve"> who believe they qualify for the </w:t>
      </w:r>
      <w:r w:rsidR="00ED6C28">
        <w:rPr>
          <w:rFonts w:ascii="Arial" w:hAnsi="Arial" w:cs="Arial"/>
        </w:rPr>
        <w:t>Vulnerable</w:t>
      </w:r>
      <w:r w:rsidR="00A80A58" w:rsidRPr="00C80F28">
        <w:rPr>
          <w:rFonts w:ascii="Arial" w:hAnsi="Arial" w:cs="Arial"/>
        </w:rPr>
        <w:t xml:space="preserve"> bursary are required to provide evidence of their care status or benefits as above to support their application</w:t>
      </w:r>
      <w:r w:rsidRPr="00C80F28">
        <w:rPr>
          <w:rFonts w:ascii="Arial" w:hAnsi="Arial" w:cs="Arial"/>
        </w:rPr>
        <w:t xml:space="preserve">. </w:t>
      </w:r>
      <w:r w:rsidR="00A80A58" w:rsidRPr="00C80F28">
        <w:rPr>
          <w:rFonts w:ascii="Arial" w:hAnsi="Arial" w:cs="Arial"/>
        </w:rPr>
        <w:t xml:space="preserve">Costs awarded for travel, meals and essential course equipment/uniform will be deducted before any cash payments are made.  </w:t>
      </w:r>
      <w:r w:rsidRPr="00C80F28">
        <w:rPr>
          <w:rFonts w:ascii="Arial" w:hAnsi="Arial" w:cs="Arial"/>
        </w:rPr>
        <w:t>Learners</w:t>
      </w:r>
      <w:r w:rsidR="00A80A58" w:rsidRPr="00C80F28">
        <w:rPr>
          <w:rFonts w:ascii="Arial" w:hAnsi="Arial" w:cs="Arial"/>
        </w:rPr>
        <w:t xml:space="preserve"> aged 19 or over are not eligible for the vulnerable student bursary.</w:t>
      </w:r>
      <w:r w:rsidR="00A663B2" w:rsidRPr="00C80F28">
        <w:rPr>
          <w:rFonts w:ascii="Arial" w:hAnsi="Arial" w:cs="Arial"/>
        </w:rPr>
        <w:t xml:space="preserve"> </w:t>
      </w:r>
    </w:p>
    <w:p w14:paraId="65D4DC78" w14:textId="583EA0D2" w:rsidR="00886BD6" w:rsidRDefault="00886BD6" w:rsidP="00C80F28">
      <w:pPr>
        <w:pStyle w:val="NoSpacing"/>
        <w:rPr>
          <w:rFonts w:ascii="Arial" w:hAnsi="Arial" w:cs="Arial"/>
        </w:rPr>
      </w:pPr>
    </w:p>
    <w:p w14:paraId="75AC8262" w14:textId="4BBB23B3" w:rsidR="00886BD6" w:rsidRDefault="00886BD6" w:rsidP="00C80F28">
      <w:pPr>
        <w:pStyle w:val="NoSpacing"/>
        <w:rPr>
          <w:rFonts w:ascii="Arial" w:hAnsi="Arial" w:cs="Arial"/>
        </w:rPr>
      </w:pPr>
      <w:r>
        <w:rPr>
          <w:rFonts w:ascii="Arial" w:hAnsi="Arial" w:cs="Arial"/>
        </w:rPr>
        <w:t>All students must have a valid bank account in their name for them to receive their bursary support payments. If a student does not have a bank account, then the college will provide support and guidance on how to open one.</w:t>
      </w:r>
    </w:p>
    <w:p w14:paraId="0C090BC2" w14:textId="77777777" w:rsidR="00055871" w:rsidRPr="00981579" w:rsidRDefault="00055871" w:rsidP="00C80F28">
      <w:pPr>
        <w:pStyle w:val="NoSpacing"/>
        <w:rPr>
          <w:rFonts w:ascii="Arial" w:hAnsi="Arial" w:cs="Arial"/>
        </w:rPr>
      </w:pPr>
    </w:p>
    <w:p w14:paraId="315CF8A6" w14:textId="5F0172B8" w:rsidR="00332760" w:rsidRPr="00981579" w:rsidRDefault="00981579" w:rsidP="00C80F28">
      <w:pPr>
        <w:pStyle w:val="NoSpacing"/>
        <w:rPr>
          <w:rFonts w:ascii="Arial" w:hAnsi="Arial" w:cs="Arial"/>
        </w:rPr>
      </w:pPr>
      <w:r w:rsidRPr="00981579">
        <w:rPr>
          <w:rFonts w:ascii="Arial" w:hAnsi="Arial" w:cs="Arial"/>
        </w:rPr>
        <w:t>There may be learners who are further removed from education, such as Children in Need, young people involved with the Youth Offending Team (YOT), or those not in education, employment, or training (NEET). These learners may require additional support, which will be assessed on a case-by-case basis.</w:t>
      </w:r>
    </w:p>
    <w:p w14:paraId="3349E54B" w14:textId="77777777" w:rsidR="00981579" w:rsidRPr="00C80F28" w:rsidRDefault="00981579" w:rsidP="00C80F28">
      <w:pPr>
        <w:pStyle w:val="NoSpacing"/>
        <w:rPr>
          <w:rFonts w:ascii="Arial" w:hAnsi="Arial" w:cs="Arial"/>
        </w:rPr>
      </w:pPr>
    </w:p>
    <w:p w14:paraId="200EBB16" w14:textId="0AEDC218" w:rsidR="00A663B2" w:rsidRDefault="00A663B2" w:rsidP="00747703">
      <w:pPr>
        <w:pStyle w:val="NoSpacing"/>
        <w:numPr>
          <w:ilvl w:val="0"/>
          <w:numId w:val="20"/>
        </w:numPr>
        <w:rPr>
          <w:rFonts w:ascii="Arial" w:hAnsi="Arial" w:cs="Arial"/>
          <w:b/>
          <w:bCs/>
        </w:rPr>
      </w:pPr>
      <w:r w:rsidRPr="00C80F28">
        <w:rPr>
          <w:rFonts w:ascii="Arial" w:hAnsi="Arial" w:cs="Arial"/>
          <w:b/>
          <w:bCs/>
        </w:rPr>
        <w:t xml:space="preserve">Educational Trips and Visits </w:t>
      </w:r>
    </w:p>
    <w:p w14:paraId="5E3BDC4C" w14:textId="77777777" w:rsidR="00747703" w:rsidRPr="00C80F28" w:rsidRDefault="00747703" w:rsidP="00747703">
      <w:pPr>
        <w:pStyle w:val="NoSpacing"/>
        <w:ind w:left="720"/>
        <w:rPr>
          <w:rFonts w:ascii="Arial" w:hAnsi="Arial" w:cs="Arial"/>
          <w:b/>
          <w:bCs/>
        </w:rPr>
      </w:pPr>
    </w:p>
    <w:p w14:paraId="32388670" w14:textId="0232C2ED" w:rsidR="00A663B2" w:rsidRPr="00C80F28" w:rsidRDefault="00A663B2" w:rsidP="00C80F28">
      <w:pPr>
        <w:pStyle w:val="NoSpacing"/>
        <w:rPr>
          <w:rFonts w:ascii="Arial" w:hAnsi="Arial" w:cs="Arial"/>
        </w:rPr>
      </w:pPr>
      <w:r w:rsidRPr="00C80F28">
        <w:rPr>
          <w:rFonts w:ascii="Arial" w:hAnsi="Arial" w:cs="Arial"/>
        </w:rPr>
        <w:t>The bursary can help pay for</w:t>
      </w:r>
      <w:r w:rsidR="0052087F">
        <w:rPr>
          <w:rFonts w:ascii="Arial" w:hAnsi="Arial" w:cs="Arial"/>
        </w:rPr>
        <w:t xml:space="preserve"> essential </w:t>
      </w:r>
      <w:r w:rsidR="00C80F28" w:rsidRPr="00C80F28">
        <w:rPr>
          <w:rFonts w:ascii="Arial" w:hAnsi="Arial" w:cs="Arial"/>
        </w:rPr>
        <w:t>education trips and visits</w:t>
      </w:r>
      <w:r w:rsidR="0052087F">
        <w:rPr>
          <w:rFonts w:ascii="Arial" w:hAnsi="Arial" w:cs="Arial"/>
        </w:rPr>
        <w:t xml:space="preserve"> linked to their programme of study.</w:t>
      </w:r>
      <w:r w:rsidRPr="00C80F28">
        <w:rPr>
          <w:rFonts w:ascii="Arial" w:hAnsi="Arial" w:cs="Arial"/>
        </w:rPr>
        <w:t xml:space="preserve"> The costs of </w:t>
      </w:r>
      <w:r w:rsidR="00C80F28" w:rsidRPr="00C80F28">
        <w:rPr>
          <w:rFonts w:ascii="Arial" w:hAnsi="Arial" w:cs="Arial"/>
        </w:rPr>
        <w:t xml:space="preserve">educational </w:t>
      </w:r>
      <w:r w:rsidRPr="00C80F28">
        <w:rPr>
          <w:rFonts w:ascii="Arial" w:hAnsi="Arial" w:cs="Arial"/>
        </w:rPr>
        <w:t>trips</w:t>
      </w:r>
      <w:r w:rsidR="00C80F28" w:rsidRPr="00C80F28">
        <w:rPr>
          <w:rFonts w:ascii="Arial" w:hAnsi="Arial" w:cs="Arial"/>
        </w:rPr>
        <w:t xml:space="preserve"> and visits</w:t>
      </w:r>
      <w:r w:rsidRPr="00C80F28">
        <w:rPr>
          <w:rFonts w:ascii="Arial" w:hAnsi="Arial" w:cs="Arial"/>
        </w:rPr>
        <w:t xml:space="preserve"> are capped, and a maximum of </w:t>
      </w:r>
      <w:r w:rsidRPr="0030629A">
        <w:rPr>
          <w:rFonts w:ascii="Arial" w:hAnsi="Arial" w:cs="Arial"/>
        </w:rPr>
        <w:t>£</w:t>
      </w:r>
      <w:r w:rsidR="00E24AB1" w:rsidRPr="0030629A">
        <w:rPr>
          <w:rFonts w:ascii="Arial" w:hAnsi="Arial" w:cs="Arial"/>
        </w:rPr>
        <w:t>150</w:t>
      </w:r>
      <w:r w:rsidRPr="0030629A">
        <w:rPr>
          <w:rFonts w:ascii="Arial" w:hAnsi="Arial" w:cs="Arial"/>
        </w:rPr>
        <w:t xml:space="preserve"> claim</w:t>
      </w:r>
      <w:r w:rsidR="00332760" w:rsidRPr="0030629A">
        <w:rPr>
          <w:rFonts w:ascii="Arial" w:hAnsi="Arial" w:cs="Arial"/>
        </w:rPr>
        <w:t xml:space="preserve"> (per student)</w:t>
      </w:r>
      <w:r w:rsidRPr="0030629A">
        <w:rPr>
          <w:rFonts w:ascii="Arial" w:hAnsi="Arial" w:cs="Arial"/>
        </w:rPr>
        <w:t xml:space="preserve"> </w:t>
      </w:r>
      <w:r w:rsidRPr="00C80F28">
        <w:rPr>
          <w:rFonts w:ascii="Arial" w:hAnsi="Arial" w:cs="Arial"/>
        </w:rPr>
        <w:t xml:space="preserve">will be allowed for </w:t>
      </w:r>
      <w:r w:rsidR="0052087F">
        <w:rPr>
          <w:rFonts w:ascii="Arial" w:hAnsi="Arial" w:cs="Arial"/>
        </w:rPr>
        <w:t>each trip, however discretions may apply and will be determined by the Head of Welfare and Wellbeing.</w:t>
      </w:r>
      <w:r w:rsidRPr="00C80F28">
        <w:rPr>
          <w:rFonts w:ascii="Arial" w:hAnsi="Arial" w:cs="Arial"/>
        </w:rPr>
        <w:t xml:space="preserve"> </w:t>
      </w:r>
      <w:r w:rsidR="00C80F28" w:rsidRPr="00C80F28">
        <w:rPr>
          <w:rFonts w:ascii="Arial" w:hAnsi="Arial" w:cs="Arial"/>
        </w:rPr>
        <w:t xml:space="preserve">Payments are coordinated </w:t>
      </w:r>
      <w:r w:rsidRPr="00C80F28">
        <w:rPr>
          <w:rFonts w:ascii="Arial" w:hAnsi="Arial" w:cs="Arial"/>
        </w:rPr>
        <w:t>directly</w:t>
      </w:r>
      <w:r w:rsidR="00C80F28" w:rsidRPr="00C80F28">
        <w:rPr>
          <w:rFonts w:ascii="Arial" w:hAnsi="Arial" w:cs="Arial"/>
        </w:rPr>
        <w:t xml:space="preserve"> with the relevant </w:t>
      </w:r>
      <w:r w:rsidRPr="00C80F28">
        <w:rPr>
          <w:rFonts w:ascii="Arial" w:hAnsi="Arial" w:cs="Arial"/>
        </w:rPr>
        <w:t>Curriculum area</w:t>
      </w:r>
      <w:r w:rsidR="0052087F">
        <w:rPr>
          <w:rFonts w:ascii="Arial" w:hAnsi="Arial" w:cs="Arial"/>
        </w:rPr>
        <w:t xml:space="preserve">. </w:t>
      </w:r>
    </w:p>
    <w:p w14:paraId="46B72A37" w14:textId="7BDB4CA1" w:rsidR="002332AA" w:rsidRDefault="002332AA" w:rsidP="00C80F28">
      <w:pPr>
        <w:pStyle w:val="NoSpacing"/>
        <w:rPr>
          <w:rFonts w:ascii="Arial" w:hAnsi="Arial" w:cs="Arial"/>
        </w:rPr>
      </w:pPr>
    </w:p>
    <w:p w14:paraId="2717B5B9" w14:textId="77777777" w:rsidR="002332AA" w:rsidRPr="00C80F28" w:rsidRDefault="002332AA" w:rsidP="00C80F28">
      <w:pPr>
        <w:pStyle w:val="NoSpacing"/>
        <w:rPr>
          <w:rFonts w:ascii="Arial" w:hAnsi="Arial" w:cs="Arial"/>
        </w:rPr>
      </w:pPr>
    </w:p>
    <w:p w14:paraId="39395902" w14:textId="313749EA" w:rsidR="00C47EB6" w:rsidRDefault="00893DC4" w:rsidP="00C80F28">
      <w:pPr>
        <w:pStyle w:val="NoSpacing"/>
        <w:numPr>
          <w:ilvl w:val="0"/>
          <w:numId w:val="20"/>
        </w:numPr>
        <w:rPr>
          <w:rFonts w:ascii="Arial" w:hAnsi="Arial" w:cs="Arial"/>
          <w:b/>
        </w:rPr>
      </w:pPr>
      <w:r w:rsidRPr="00C80F28">
        <w:rPr>
          <w:rFonts w:ascii="Arial" w:hAnsi="Arial" w:cs="Arial"/>
          <w:b/>
        </w:rPr>
        <w:t>Help towards Additional Learning Support</w:t>
      </w:r>
      <w:r w:rsidRPr="00C80F28">
        <w:rPr>
          <w:rFonts w:ascii="Arial" w:hAnsi="Arial" w:cs="Arial"/>
          <w:bCs/>
        </w:rPr>
        <w:t xml:space="preserve"> </w:t>
      </w:r>
      <w:r w:rsidR="00747703" w:rsidRPr="00C47EB6">
        <w:rPr>
          <w:rFonts w:ascii="Arial" w:hAnsi="Arial" w:cs="Arial"/>
          <w:b/>
        </w:rPr>
        <w:t xml:space="preserve">Needs </w:t>
      </w:r>
      <w:r w:rsidR="00747703">
        <w:rPr>
          <w:rFonts w:ascii="Arial" w:hAnsi="Arial" w:cs="Arial"/>
          <w:b/>
        </w:rPr>
        <w:t>(</w:t>
      </w:r>
      <w:r w:rsidRPr="00747703">
        <w:rPr>
          <w:rFonts w:ascii="Arial" w:hAnsi="Arial" w:cs="Arial"/>
          <w:b/>
        </w:rPr>
        <w:t xml:space="preserve">Advanced Learner Loan learners only) </w:t>
      </w:r>
    </w:p>
    <w:p w14:paraId="33E13504" w14:textId="77777777" w:rsidR="00747703" w:rsidRPr="00747703" w:rsidRDefault="00747703" w:rsidP="00747703">
      <w:pPr>
        <w:pStyle w:val="NoSpacing"/>
        <w:ind w:left="720"/>
        <w:rPr>
          <w:rFonts w:ascii="Arial" w:hAnsi="Arial" w:cs="Arial"/>
          <w:b/>
        </w:rPr>
      </w:pPr>
    </w:p>
    <w:p w14:paraId="32056E6A" w14:textId="77777777" w:rsidR="00893DC4" w:rsidRPr="00C80F28" w:rsidRDefault="00893DC4" w:rsidP="00C80F28">
      <w:pPr>
        <w:pStyle w:val="NoSpacing"/>
        <w:rPr>
          <w:rFonts w:ascii="Arial" w:hAnsi="Arial" w:cs="Arial"/>
        </w:rPr>
      </w:pPr>
      <w:r w:rsidRPr="00C80F28">
        <w:rPr>
          <w:rFonts w:ascii="Arial" w:hAnsi="Arial" w:cs="Arial"/>
        </w:rPr>
        <w:t xml:space="preserve">Support through bursary funds with the cost of Additional Learning Support needs is available to students who are formally assessed by the College as needing support with learning. Awards are available each academic year to a maximum award value of £1500 per student however the College reserves its right to consider exceptional levels of need/circumstances. </w:t>
      </w:r>
    </w:p>
    <w:p w14:paraId="15699B46" w14:textId="77777777" w:rsidR="00C80F28" w:rsidRDefault="00C80F28" w:rsidP="00C80F28">
      <w:pPr>
        <w:pStyle w:val="NoSpacing"/>
        <w:rPr>
          <w:rFonts w:ascii="Arial" w:hAnsi="Arial" w:cs="Arial"/>
          <w:bCs/>
        </w:rPr>
      </w:pPr>
    </w:p>
    <w:p w14:paraId="0F7679D7" w14:textId="1F81C153" w:rsidR="00893DC4" w:rsidRDefault="00893DC4" w:rsidP="00747703">
      <w:pPr>
        <w:pStyle w:val="NoSpacing"/>
        <w:numPr>
          <w:ilvl w:val="0"/>
          <w:numId w:val="20"/>
        </w:numPr>
        <w:rPr>
          <w:rFonts w:ascii="Arial" w:hAnsi="Arial" w:cs="Arial"/>
          <w:b/>
        </w:rPr>
      </w:pPr>
      <w:r w:rsidRPr="00C80F28">
        <w:rPr>
          <w:rFonts w:ascii="Arial" w:hAnsi="Arial" w:cs="Arial"/>
          <w:b/>
        </w:rPr>
        <w:t>Emergency Fund</w:t>
      </w:r>
      <w:r w:rsidR="00194252" w:rsidRPr="00C80F28">
        <w:rPr>
          <w:rFonts w:ascii="Arial" w:hAnsi="Arial" w:cs="Arial"/>
          <w:b/>
        </w:rPr>
        <w:t>s</w:t>
      </w:r>
    </w:p>
    <w:p w14:paraId="4FE262CB" w14:textId="77777777" w:rsidR="00747703" w:rsidRPr="00C80F28" w:rsidRDefault="00747703" w:rsidP="00747703">
      <w:pPr>
        <w:pStyle w:val="NoSpacing"/>
        <w:ind w:left="720"/>
        <w:rPr>
          <w:rFonts w:ascii="Arial" w:hAnsi="Arial" w:cs="Arial"/>
          <w:b/>
        </w:rPr>
      </w:pPr>
    </w:p>
    <w:p w14:paraId="4F2CE36E" w14:textId="4700E4BF" w:rsidR="00194252" w:rsidRDefault="00893DC4" w:rsidP="00C80F28">
      <w:pPr>
        <w:pStyle w:val="NoSpacing"/>
        <w:rPr>
          <w:rFonts w:ascii="Arial" w:hAnsi="Arial" w:cs="Arial"/>
        </w:rPr>
      </w:pPr>
      <w:r w:rsidRPr="00C80F28">
        <w:rPr>
          <w:rFonts w:ascii="Arial" w:hAnsi="Arial" w:cs="Arial"/>
        </w:rPr>
        <w:t xml:space="preserve">Emergency </w:t>
      </w:r>
      <w:r w:rsidR="00194252" w:rsidRPr="00C80F28">
        <w:rPr>
          <w:rFonts w:ascii="Arial" w:hAnsi="Arial" w:cs="Arial"/>
        </w:rPr>
        <w:t>f</w:t>
      </w:r>
      <w:r w:rsidRPr="00C80F28">
        <w:rPr>
          <w:rFonts w:ascii="Arial" w:hAnsi="Arial" w:cs="Arial"/>
        </w:rPr>
        <w:t>unds to meet unexpected financial crises are available.  Funds can only be accessed in the case of extreme hardship</w:t>
      </w:r>
      <w:r w:rsidR="00194252" w:rsidRPr="00C80F28">
        <w:rPr>
          <w:rFonts w:ascii="Arial" w:hAnsi="Arial" w:cs="Arial"/>
        </w:rPr>
        <w:t xml:space="preserve"> and the College </w:t>
      </w:r>
      <w:r w:rsidR="0052087F">
        <w:rPr>
          <w:rFonts w:ascii="Arial" w:hAnsi="Arial" w:cs="Arial"/>
        </w:rPr>
        <w:t xml:space="preserve">reserves the right to </w:t>
      </w:r>
      <w:r w:rsidR="00194252" w:rsidRPr="00C80F28">
        <w:rPr>
          <w:rFonts w:ascii="Arial" w:hAnsi="Arial" w:cs="Arial"/>
        </w:rPr>
        <w:t xml:space="preserve">exercise its discretion in each case. </w:t>
      </w:r>
      <w:r w:rsidRPr="00C80F28">
        <w:rPr>
          <w:rFonts w:ascii="Arial" w:hAnsi="Arial" w:cs="Arial"/>
        </w:rPr>
        <w:t>The College will not assist with prior debt</w:t>
      </w:r>
      <w:r w:rsidR="0052087F">
        <w:rPr>
          <w:rFonts w:ascii="Arial" w:hAnsi="Arial" w:cs="Arial"/>
        </w:rPr>
        <w:t xml:space="preserve"> or housing costs. </w:t>
      </w:r>
    </w:p>
    <w:p w14:paraId="1659E49E" w14:textId="77777777" w:rsidR="0029748C" w:rsidRPr="00C80F28" w:rsidRDefault="0029748C" w:rsidP="00C80F28">
      <w:pPr>
        <w:pStyle w:val="NoSpacing"/>
        <w:rPr>
          <w:rFonts w:ascii="Arial" w:hAnsi="Arial" w:cs="Arial"/>
        </w:rPr>
      </w:pPr>
    </w:p>
    <w:p w14:paraId="081DC0E4" w14:textId="59177489" w:rsidR="00A663B2" w:rsidRDefault="00A663B2" w:rsidP="00747703">
      <w:pPr>
        <w:pStyle w:val="NoSpacing"/>
        <w:numPr>
          <w:ilvl w:val="0"/>
          <w:numId w:val="20"/>
        </w:numPr>
        <w:rPr>
          <w:rFonts w:ascii="Arial" w:hAnsi="Arial" w:cs="Arial"/>
          <w:b/>
        </w:rPr>
      </w:pPr>
      <w:r w:rsidRPr="00C80F28">
        <w:rPr>
          <w:rFonts w:ascii="Arial" w:hAnsi="Arial" w:cs="Arial"/>
          <w:b/>
        </w:rPr>
        <w:t>Supporting industry placements</w:t>
      </w:r>
    </w:p>
    <w:p w14:paraId="73DEA0A8" w14:textId="77777777" w:rsidR="00747703" w:rsidRPr="00C80F28" w:rsidRDefault="00747703" w:rsidP="00747703">
      <w:pPr>
        <w:pStyle w:val="NoSpacing"/>
        <w:ind w:left="720"/>
        <w:rPr>
          <w:rFonts w:ascii="Arial" w:hAnsi="Arial" w:cs="Arial"/>
          <w:b/>
        </w:rPr>
      </w:pPr>
    </w:p>
    <w:p w14:paraId="05A4EE38" w14:textId="27EB5C28" w:rsidR="00194252" w:rsidRPr="00C80F28" w:rsidRDefault="00A663B2" w:rsidP="00C80F28">
      <w:pPr>
        <w:pStyle w:val="NoSpacing"/>
        <w:rPr>
          <w:rFonts w:ascii="Arial" w:hAnsi="Arial" w:cs="Arial"/>
        </w:rPr>
      </w:pPr>
      <w:r w:rsidRPr="00C80F28">
        <w:rPr>
          <w:rFonts w:ascii="Arial" w:hAnsi="Arial" w:cs="Arial"/>
        </w:rPr>
        <w:t xml:space="preserve">Waltham Forest College will respond and support the needs of learners undertaking industry placements as they may find themselves facing financial difficulties due to incurring extra participation costs, for example, because they need to pay for additional travel to their placement. </w:t>
      </w:r>
    </w:p>
    <w:p w14:paraId="23539384" w14:textId="77777777" w:rsidR="00893DC4" w:rsidRPr="00C80F28" w:rsidRDefault="00893DC4" w:rsidP="00C80F28">
      <w:pPr>
        <w:pStyle w:val="NoSpacing"/>
        <w:rPr>
          <w:rFonts w:ascii="Arial" w:hAnsi="Arial" w:cs="Arial"/>
        </w:rPr>
      </w:pPr>
    </w:p>
    <w:p w14:paraId="584EF922" w14:textId="394410F1" w:rsidR="00893DC4" w:rsidRDefault="00893DC4" w:rsidP="00747703">
      <w:pPr>
        <w:pStyle w:val="NoSpacing"/>
        <w:numPr>
          <w:ilvl w:val="0"/>
          <w:numId w:val="20"/>
        </w:numPr>
        <w:rPr>
          <w:rFonts w:ascii="Arial" w:hAnsi="Arial" w:cs="Arial"/>
          <w:b/>
        </w:rPr>
      </w:pPr>
      <w:r w:rsidRPr="00C80F28">
        <w:rPr>
          <w:rFonts w:ascii="Arial" w:hAnsi="Arial" w:cs="Arial"/>
          <w:b/>
        </w:rPr>
        <w:t xml:space="preserve">Allocation  </w:t>
      </w:r>
    </w:p>
    <w:p w14:paraId="034ACD9D" w14:textId="77777777" w:rsidR="00747703" w:rsidRPr="00C80F28" w:rsidRDefault="00747703" w:rsidP="00747703">
      <w:pPr>
        <w:pStyle w:val="NoSpacing"/>
        <w:ind w:left="720"/>
        <w:rPr>
          <w:rFonts w:ascii="Arial" w:hAnsi="Arial" w:cs="Arial"/>
          <w:b/>
        </w:rPr>
      </w:pPr>
    </w:p>
    <w:p w14:paraId="68B86072" w14:textId="2BE97DEB" w:rsidR="00A663B2" w:rsidRDefault="00893DC4" w:rsidP="00C80F28">
      <w:pPr>
        <w:pStyle w:val="NoSpacing"/>
        <w:rPr>
          <w:rFonts w:ascii="Arial" w:hAnsi="Arial" w:cs="Arial"/>
        </w:rPr>
      </w:pPr>
      <w:r w:rsidRPr="00C80F28">
        <w:rPr>
          <w:rFonts w:ascii="Arial" w:hAnsi="Arial" w:cs="Arial"/>
        </w:rPr>
        <w:t>In all cases, the application will be judged on its individual merits as outlined in the ESFA</w:t>
      </w:r>
      <w:r w:rsidR="00AD3791">
        <w:rPr>
          <w:rFonts w:ascii="Arial" w:hAnsi="Arial" w:cs="Arial"/>
        </w:rPr>
        <w:t xml:space="preserve"> and GLA </w:t>
      </w:r>
      <w:r w:rsidRPr="00C80F28">
        <w:rPr>
          <w:rFonts w:ascii="Arial" w:hAnsi="Arial" w:cs="Arial"/>
        </w:rPr>
        <w:t>guidelines. The amount awarded will be specific to each individual applicatio</w:t>
      </w:r>
      <w:r w:rsidR="0029748C">
        <w:rPr>
          <w:rFonts w:ascii="Arial" w:hAnsi="Arial" w:cs="Arial"/>
        </w:rPr>
        <w:t>n</w:t>
      </w:r>
      <w:r w:rsidRPr="00C80F28">
        <w:rPr>
          <w:rFonts w:ascii="Arial" w:hAnsi="Arial" w:cs="Arial"/>
        </w:rPr>
        <w:t xml:space="preserve">.  </w:t>
      </w:r>
      <w:r w:rsidRPr="00C80F28">
        <w:rPr>
          <w:rFonts w:ascii="Arial" w:hAnsi="Arial" w:cs="Arial"/>
        </w:rPr>
        <w:lastRenderedPageBreak/>
        <w:t xml:space="preserve">Applicants will be advised of their full award. If attendance falls below </w:t>
      </w:r>
      <w:r w:rsidR="00D80BC5">
        <w:rPr>
          <w:rFonts w:ascii="Arial" w:hAnsi="Arial" w:cs="Arial"/>
        </w:rPr>
        <w:t>attendance requirement</w:t>
      </w:r>
      <w:r w:rsidR="00AD3791">
        <w:rPr>
          <w:rFonts w:ascii="Arial" w:hAnsi="Arial" w:cs="Arial"/>
        </w:rPr>
        <w:t xml:space="preserve"> (Monthly 90%)</w:t>
      </w:r>
      <w:r w:rsidR="0085585B">
        <w:rPr>
          <w:rFonts w:ascii="Arial" w:hAnsi="Arial" w:cs="Arial"/>
        </w:rPr>
        <w:t>,</w:t>
      </w:r>
      <w:r w:rsidR="00D80BC5">
        <w:rPr>
          <w:rFonts w:ascii="Arial" w:hAnsi="Arial" w:cs="Arial"/>
        </w:rPr>
        <w:t xml:space="preserve"> awa</w:t>
      </w:r>
      <w:r w:rsidRPr="00C80F28">
        <w:rPr>
          <w:rFonts w:ascii="Arial" w:hAnsi="Arial" w:cs="Arial"/>
        </w:rPr>
        <w:t xml:space="preserve">rds </w:t>
      </w:r>
      <w:r w:rsidR="00E37186" w:rsidRPr="0030629A">
        <w:rPr>
          <w:rFonts w:ascii="Arial" w:hAnsi="Arial" w:cs="Arial"/>
        </w:rPr>
        <w:t>will</w:t>
      </w:r>
      <w:r w:rsidRPr="0030629A">
        <w:rPr>
          <w:rFonts w:ascii="Arial" w:hAnsi="Arial" w:cs="Arial"/>
        </w:rPr>
        <w:t xml:space="preserve"> </w:t>
      </w:r>
      <w:r w:rsidRPr="00C80F28">
        <w:rPr>
          <w:rFonts w:ascii="Arial" w:hAnsi="Arial" w:cs="Arial"/>
        </w:rPr>
        <w:t xml:space="preserve">be withheld. </w:t>
      </w:r>
    </w:p>
    <w:p w14:paraId="60B4506A" w14:textId="007DD33F" w:rsidR="005E1617" w:rsidRDefault="005E1617" w:rsidP="00C80F28">
      <w:pPr>
        <w:pStyle w:val="NoSpacing"/>
        <w:rPr>
          <w:rFonts w:ascii="Arial" w:hAnsi="Arial" w:cs="Arial"/>
        </w:rPr>
      </w:pPr>
    </w:p>
    <w:p w14:paraId="6D0D949F" w14:textId="10FB5B1B" w:rsidR="00886BD6" w:rsidRPr="00C80F28" w:rsidRDefault="005E1617" w:rsidP="00C80F28">
      <w:pPr>
        <w:pStyle w:val="NoSpacing"/>
        <w:rPr>
          <w:rFonts w:ascii="Arial" w:hAnsi="Arial" w:cs="Arial"/>
        </w:rPr>
      </w:pPr>
      <w:r w:rsidRPr="00C80F28">
        <w:rPr>
          <w:rFonts w:ascii="Arial" w:hAnsi="Arial" w:cs="Arial"/>
        </w:rPr>
        <w:t xml:space="preserve">This </w:t>
      </w:r>
      <w:r>
        <w:rPr>
          <w:rFonts w:ascii="Arial" w:hAnsi="Arial" w:cs="Arial"/>
        </w:rPr>
        <w:t xml:space="preserve">amount of award </w:t>
      </w:r>
      <w:r w:rsidRPr="00C80F28">
        <w:rPr>
          <w:rFonts w:ascii="Arial" w:hAnsi="Arial" w:cs="Arial"/>
        </w:rPr>
        <w:t>can be increased depending on individual circumstances.</w:t>
      </w:r>
    </w:p>
    <w:p w14:paraId="0458E01E" w14:textId="77777777" w:rsidR="00E97AA8" w:rsidRPr="00C80F28" w:rsidRDefault="00E97AA8" w:rsidP="00C80F28">
      <w:pPr>
        <w:pStyle w:val="NoSpacing"/>
        <w:rPr>
          <w:rFonts w:ascii="Arial" w:hAnsi="Arial" w:cs="Arial"/>
        </w:rPr>
      </w:pPr>
    </w:p>
    <w:p w14:paraId="609A852F" w14:textId="739B1AE5" w:rsidR="001E2C71" w:rsidRDefault="00E97AA8" w:rsidP="00747703">
      <w:pPr>
        <w:pStyle w:val="NoSpacing"/>
        <w:numPr>
          <w:ilvl w:val="0"/>
          <w:numId w:val="20"/>
        </w:numPr>
        <w:rPr>
          <w:rFonts w:ascii="Arial" w:hAnsi="Arial" w:cs="Arial"/>
          <w:b/>
          <w:bCs/>
        </w:rPr>
      </w:pPr>
      <w:r w:rsidRPr="00C80F28">
        <w:rPr>
          <w:rFonts w:ascii="Arial" w:hAnsi="Arial" w:cs="Arial"/>
          <w:b/>
          <w:bCs/>
        </w:rPr>
        <w:t xml:space="preserve">Attendance </w:t>
      </w:r>
    </w:p>
    <w:p w14:paraId="2063C006" w14:textId="77777777" w:rsidR="00747703" w:rsidRPr="00C80F28" w:rsidRDefault="00747703" w:rsidP="00747703">
      <w:pPr>
        <w:pStyle w:val="NoSpacing"/>
        <w:ind w:left="720"/>
        <w:rPr>
          <w:rFonts w:ascii="Arial" w:hAnsi="Arial" w:cs="Arial"/>
          <w:b/>
          <w:bCs/>
        </w:rPr>
      </w:pPr>
    </w:p>
    <w:p w14:paraId="22F4554F" w14:textId="77777777" w:rsidR="001E2C71" w:rsidRPr="00C80F28" w:rsidRDefault="001E2C71" w:rsidP="00C80F28">
      <w:pPr>
        <w:pStyle w:val="NoSpacing"/>
        <w:rPr>
          <w:rFonts w:ascii="Arial" w:hAnsi="Arial" w:cs="Arial"/>
        </w:rPr>
      </w:pPr>
      <w:r w:rsidRPr="00C80F28">
        <w:rPr>
          <w:rFonts w:ascii="Arial" w:hAnsi="Arial" w:cs="Arial"/>
        </w:rPr>
        <w:t xml:space="preserve">Learner attendance will be checked before each instalment payment. If a learner is found to have withdrawn from their studies, their award will be cancelled and re-allocated. </w:t>
      </w:r>
    </w:p>
    <w:p w14:paraId="12798D7F" w14:textId="77777777" w:rsidR="001E2C71" w:rsidRPr="00C80F28" w:rsidRDefault="001E2C71" w:rsidP="00C80F28">
      <w:pPr>
        <w:pStyle w:val="NoSpacing"/>
        <w:rPr>
          <w:rFonts w:ascii="Arial" w:hAnsi="Arial" w:cs="Arial"/>
        </w:rPr>
      </w:pPr>
    </w:p>
    <w:p w14:paraId="5C35F3C9" w14:textId="745E9871" w:rsidR="00A46B4E" w:rsidRPr="0030629A" w:rsidRDefault="001E2C71" w:rsidP="00C80F28">
      <w:pPr>
        <w:pStyle w:val="NoSpacing"/>
        <w:rPr>
          <w:rFonts w:ascii="Arial" w:hAnsi="Arial" w:cs="Arial"/>
        </w:rPr>
      </w:pPr>
      <w:r w:rsidRPr="00C80F28">
        <w:rPr>
          <w:rFonts w:ascii="Arial" w:hAnsi="Arial" w:cs="Arial"/>
        </w:rPr>
        <w:t xml:space="preserve">If attendance is found to be less than </w:t>
      </w:r>
      <w:r w:rsidR="00D80BC5">
        <w:rPr>
          <w:rFonts w:ascii="Arial" w:hAnsi="Arial" w:cs="Arial"/>
        </w:rPr>
        <w:t>90</w:t>
      </w:r>
      <w:r w:rsidRPr="00C80F28">
        <w:rPr>
          <w:rFonts w:ascii="Arial" w:hAnsi="Arial" w:cs="Arial"/>
        </w:rPr>
        <w:t xml:space="preserve">% the payment will not be </w:t>
      </w:r>
      <w:r w:rsidR="00964AF7" w:rsidRPr="00C80F28">
        <w:rPr>
          <w:rFonts w:ascii="Arial" w:hAnsi="Arial" w:cs="Arial"/>
        </w:rPr>
        <w:t>made,</w:t>
      </w:r>
      <w:r w:rsidRPr="00C80F28">
        <w:rPr>
          <w:rFonts w:ascii="Arial" w:hAnsi="Arial" w:cs="Arial"/>
        </w:rPr>
        <w:t xml:space="preserve"> and the Student Finance Team will </w:t>
      </w:r>
      <w:r w:rsidR="002332AA" w:rsidRPr="0030629A">
        <w:rPr>
          <w:rFonts w:ascii="Arial" w:hAnsi="Arial" w:cs="Arial"/>
        </w:rPr>
        <w:t>contact</w:t>
      </w:r>
      <w:r w:rsidRPr="0030629A">
        <w:rPr>
          <w:rFonts w:ascii="Arial" w:hAnsi="Arial" w:cs="Arial"/>
        </w:rPr>
        <w:t xml:space="preserve"> the learner to explain the reason for non-payment. </w:t>
      </w:r>
      <w:r w:rsidR="00B401D8" w:rsidRPr="0030629A">
        <w:rPr>
          <w:rFonts w:ascii="Arial" w:hAnsi="Arial" w:cs="Arial"/>
        </w:rPr>
        <w:t>Some</w:t>
      </w:r>
      <w:r w:rsidR="00A46B4E" w:rsidRPr="0030629A">
        <w:rPr>
          <w:rFonts w:ascii="Arial" w:hAnsi="Arial" w:cs="Arial"/>
        </w:rPr>
        <w:t xml:space="preserve"> learner</w:t>
      </w:r>
      <w:r w:rsidR="00E47ECD" w:rsidRPr="0030629A">
        <w:rPr>
          <w:rFonts w:ascii="Arial" w:hAnsi="Arial" w:cs="Arial"/>
        </w:rPr>
        <w:t>’</w:t>
      </w:r>
      <w:r w:rsidR="00A46B4E" w:rsidRPr="0030629A">
        <w:rPr>
          <w:rFonts w:ascii="Arial" w:hAnsi="Arial" w:cs="Arial"/>
        </w:rPr>
        <w:t xml:space="preserve">s payments may be paid on a pro rata </w:t>
      </w:r>
      <w:r w:rsidR="00AD6610" w:rsidRPr="0030629A">
        <w:rPr>
          <w:rFonts w:ascii="Arial" w:hAnsi="Arial" w:cs="Arial"/>
        </w:rPr>
        <w:t xml:space="preserve">basis to reflect current attendance. </w:t>
      </w:r>
    </w:p>
    <w:p w14:paraId="1CD65E22" w14:textId="77777777" w:rsidR="00A46B4E" w:rsidRPr="0030629A" w:rsidRDefault="00A46B4E" w:rsidP="00C80F28">
      <w:pPr>
        <w:pStyle w:val="NoSpacing"/>
        <w:rPr>
          <w:rFonts w:ascii="Arial" w:hAnsi="Arial" w:cs="Arial"/>
        </w:rPr>
      </w:pPr>
    </w:p>
    <w:p w14:paraId="73E2B6D4" w14:textId="15E2C4EC" w:rsidR="0030629A" w:rsidRDefault="001E2C71" w:rsidP="00C80F28">
      <w:pPr>
        <w:pStyle w:val="NoSpacing"/>
        <w:rPr>
          <w:rFonts w:ascii="Arial" w:hAnsi="Arial" w:cs="Arial"/>
        </w:rPr>
      </w:pPr>
      <w:r w:rsidRPr="0030629A">
        <w:rPr>
          <w:rFonts w:ascii="Arial" w:hAnsi="Arial" w:cs="Arial"/>
        </w:rPr>
        <w:t xml:space="preserve">In exceptional circumstances learners may still be able to receive their LSF allocation if they can provide evidence of extenuating circumstances causing low attendance or at the discretion of the </w:t>
      </w:r>
      <w:r w:rsidR="002332AA" w:rsidRPr="0030629A">
        <w:rPr>
          <w:rFonts w:ascii="Arial" w:hAnsi="Arial" w:cs="Arial"/>
        </w:rPr>
        <w:t>Head of Welfare and Wellbeing</w:t>
      </w:r>
      <w:r w:rsidRPr="0030629A">
        <w:rPr>
          <w:rFonts w:ascii="Arial" w:hAnsi="Arial" w:cs="Arial"/>
        </w:rPr>
        <w:t xml:space="preserve">. </w:t>
      </w:r>
    </w:p>
    <w:p w14:paraId="37A9485C" w14:textId="77777777" w:rsidR="00C83203" w:rsidRPr="00C80F28" w:rsidRDefault="00C83203" w:rsidP="00C80F28">
      <w:pPr>
        <w:pStyle w:val="NoSpacing"/>
        <w:rPr>
          <w:rFonts w:ascii="Arial" w:hAnsi="Arial" w:cs="Arial"/>
        </w:rPr>
      </w:pPr>
    </w:p>
    <w:p w14:paraId="6F02ECD0" w14:textId="2CE92B7F" w:rsidR="00C74355" w:rsidRDefault="00C74355" w:rsidP="00747703">
      <w:pPr>
        <w:pStyle w:val="NoSpacing"/>
        <w:numPr>
          <w:ilvl w:val="0"/>
          <w:numId w:val="20"/>
        </w:numPr>
        <w:rPr>
          <w:rFonts w:ascii="Arial" w:hAnsi="Arial" w:cs="Arial"/>
          <w:b/>
          <w:bCs/>
        </w:rPr>
      </w:pPr>
      <w:r w:rsidRPr="00C80F28">
        <w:rPr>
          <w:rFonts w:ascii="Arial" w:hAnsi="Arial" w:cs="Arial"/>
          <w:b/>
          <w:bCs/>
        </w:rPr>
        <w:t xml:space="preserve">Authorisation and Approval </w:t>
      </w:r>
    </w:p>
    <w:p w14:paraId="08366C73" w14:textId="77777777" w:rsidR="00747703" w:rsidRPr="00C80F28" w:rsidRDefault="00747703" w:rsidP="00747703">
      <w:pPr>
        <w:pStyle w:val="NoSpacing"/>
        <w:ind w:left="720"/>
        <w:rPr>
          <w:rFonts w:ascii="Arial" w:hAnsi="Arial" w:cs="Arial"/>
          <w:b/>
          <w:bCs/>
        </w:rPr>
      </w:pPr>
    </w:p>
    <w:p w14:paraId="5E43D661" w14:textId="17E0BF44" w:rsidR="00C74355" w:rsidRPr="00C80F28" w:rsidRDefault="00C74355" w:rsidP="00C80F28">
      <w:pPr>
        <w:pStyle w:val="NoSpacing"/>
        <w:rPr>
          <w:rFonts w:ascii="Arial" w:hAnsi="Arial" w:cs="Arial"/>
        </w:rPr>
      </w:pPr>
      <w:r w:rsidRPr="00C80F28">
        <w:rPr>
          <w:rFonts w:ascii="Arial" w:hAnsi="Arial" w:cs="Arial"/>
        </w:rPr>
        <w:t xml:space="preserve">The value of the award will be assessed by a Student Finance </w:t>
      </w:r>
      <w:r w:rsidR="00AD3791">
        <w:rPr>
          <w:rFonts w:ascii="Arial" w:hAnsi="Arial" w:cs="Arial"/>
        </w:rPr>
        <w:t>coordinator</w:t>
      </w:r>
      <w:r w:rsidRPr="00C80F28">
        <w:rPr>
          <w:rFonts w:ascii="Arial" w:hAnsi="Arial" w:cs="Arial"/>
        </w:rPr>
        <w:t xml:space="preserve">. </w:t>
      </w:r>
      <w:r w:rsidR="00964AF7" w:rsidRPr="00C80F28">
        <w:rPr>
          <w:rFonts w:ascii="Arial" w:hAnsi="Arial" w:cs="Arial"/>
        </w:rPr>
        <w:t>All supporting documentation i.e. means-tested benefit statement(s)</w:t>
      </w:r>
      <w:r w:rsidRPr="00C80F28">
        <w:rPr>
          <w:rFonts w:ascii="Arial" w:hAnsi="Arial" w:cs="Arial"/>
        </w:rPr>
        <w:t xml:space="preserve"> will be inspected </w:t>
      </w:r>
      <w:r w:rsidR="0085585B">
        <w:rPr>
          <w:rFonts w:ascii="Arial" w:hAnsi="Arial" w:cs="Arial"/>
        </w:rPr>
        <w:t>once applications have been submitted.</w:t>
      </w:r>
      <w:r w:rsidRPr="00C80F28">
        <w:rPr>
          <w:rFonts w:ascii="Arial" w:hAnsi="Arial" w:cs="Arial"/>
        </w:rPr>
        <w:t xml:space="preserve"> Failure to have incomplete or incorrect supportive evidence in place will prevent the application for </w:t>
      </w:r>
      <w:r w:rsidR="008C5D52">
        <w:rPr>
          <w:rFonts w:ascii="Arial" w:hAnsi="Arial" w:cs="Arial"/>
        </w:rPr>
        <w:t>being assessed</w:t>
      </w:r>
      <w:r w:rsidRPr="00C80F28">
        <w:rPr>
          <w:rFonts w:ascii="Arial" w:hAnsi="Arial" w:cs="Arial"/>
        </w:rPr>
        <w:t xml:space="preserve"> until such evidence is provided. Each award will be approved by Student Finance team and will inform applicant of their award at the point of application or, when this is not possible, by </w:t>
      </w:r>
      <w:r w:rsidR="008C5D52">
        <w:rPr>
          <w:rFonts w:ascii="Arial" w:hAnsi="Arial" w:cs="Arial"/>
        </w:rPr>
        <w:t>email</w:t>
      </w:r>
      <w:r w:rsidRPr="00C80F28">
        <w:rPr>
          <w:rFonts w:ascii="Arial" w:hAnsi="Arial" w:cs="Arial"/>
        </w:rPr>
        <w:t xml:space="preserve">, letter or text following authorisation. </w:t>
      </w:r>
    </w:p>
    <w:p w14:paraId="6B8439F3" w14:textId="77777777" w:rsidR="00C80F28" w:rsidRDefault="00C80F28" w:rsidP="00C80F28">
      <w:pPr>
        <w:pStyle w:val="NoSpacing"/>
        <w:rPr>
          <w:rFonts w:ascii="Arial" w:hAnsi="Arial" w:cs="Arial"/>
          <w:b/>
          <w:bCs/>
        </w:rPr>
      </w:pPr>
    </w:p>
    <w:p w14:paraId="4AB02300" w14:textId="5E16DE68" w:rsidR="00C74355" w:rsidRDefault="00C74355" w:rsidP="00747703">
      <w:pPr>
        <w:pStyle w:val="NoSpacing"/>
        <w:numPr>
          <w:ilvl w:val="0"/>
          <w:numId w:val="20"/>
        </w:numPr>
        <w:rPr>
          <w:rFonts w:ascii="Arial" w:hAnsi="Arial" w:cs="Arial"/>
          <w:b/>
          <w:bCs/>
        </w:rPr>
      </w:pPr>
      <w:r w:rsidRPr="00C80F28">
        <w:rPr>
          <w:rFonts w:ascii="Arial" w:hAnsi="Arial" w:cs="Arial"/>
          <w:b/>
          <w:bCs/>
        </w:rPr>
        <w:t xml:space="preserve">Confidentiality </w:t>
      </w:r>
    </w:p>
    <w:p w14:paraId="2E5F3099" w14:textId="77777777" w:rsidR="00747703" w:rsidRPr="00C80F28" w:rsidRDefault="00747703" w:rsidP="00747703">
      <w:pPr>
        <w:pStyle w:val="NoSpacing"/>
        <w:ind w:left="720"/>
        <w:rPr>
          <w:rFonts w:ascii="Arial" w:hAnsi="Arial" w:cs="Arial"/>
          <w:b/>
          <w:bCs/>
        </w:rPr>
      </w:pPr>
    </w:p>
    <w:p w14:paraId="623B9D6D" w14:textId="77777777" w:rsidR="00C74355" w:rsidRPr="00C80F28" w:rsidRDefault="00C74355" w:rsidP="00C80F28">
      <w:pPr>
        <w:pStyle w:val="NoSpacing"/>
        <w:rPr>
          <w:rFonts w:ascii="Arial" w:hAnsi="Arial" w:cs="Arial"/>
        </w:rPr>
      </w:pPr>
      <w:r w:rsidRPr="00C80F28">
        <w:rPr>
          <w:rFonts w:ascii="Arial" w:hAnsi="Arial" w:cs="Arial"/>
        </w:rPr>
        <w:t>Information provided by applicants will be treated in strict confidence and access to this information will be restricted as far as possible to members of staff directly involved with the day-today administration of the fund. Information may be made available to other College departments for course documentation and inspection purposes, in line with the College’s Data Protection Policy.</w:t>
      </w:r>
    </w:p>
    <w:p w14:paraId="2413440D" w14:textId="77777777" w:rsidR="00C80F28" w:rsidRDefault="00C80F28" w:rsidP="00C80F28">
      <w:pPr>
        <w:pStyle w:val="NoSpacing"/>
        <w:rPr>
          <w:rFonts w:ascii="Arial" w:hAnsi="Arial" w:cs="Arial"/>
        </w:rPr>
      </w:pPr>
    </w:p>
    <w:p w14:paraId="12267E51" w14:textId="0608835C" w:rsidR="00C74355" w:rsidRDefault="00C74355" w:rsidP="00747703">
      <w:pPr>
        <w:pStyle w:val="NoSpacing"/>
        <w:numPr>
          <w:ilvl w:val="0"/>
          <w:numId w:val="20"/>
        </w:numPr>
        <w:rPr>
          <w:rFonts w:ascii="Arial" w:hAnsi="Arial" w:cs="Arial"/>
          <w:b/>
          <w:bCs/>
        </w:rPr>
      </w:pPr>
      <w:r w:rsidRPr="00C80F28">
        <w:rPr>
          <w:rFonts w:ascii="Arial" w:hAnsi="Arial" w:cs="Arial"/>
          <w:b/>
          <w:bCs/>
        </w:rPr>
        <w:t>Quality Standards</w:t>
      </w:r>
    </w:p>
    <w:p w14:paraId="0FA412B4" w14:textId="77777777" w:rsidR="00747703" w:rsidRPr="00C80F28" w:rsidRDefault="00747703" w:rsidP="00747703">
      <w:pPr>
        <w:pStyle w:val="NoSpacing"/>
        <w:ind w:left="720"/>
        <w:rPr>
          <w:rFonts w:ascii="Arial" w:hAnsi="Arial" w:cs="Arial"/>
          <w:b/>
          <w:bCs/>
        </w:rPr>
      </w:pPr>
    </w:p>
    <w:p w14:paraId="69C8A9DD" w14:textId="77777777" w:rsidR="00F200B9" w:rsidRDefault="00C74355" w:rsidP="00C80F28">
      <w:pPr>
        <w:pStyle w:val="NoSpacing"/>
        <w:rPr>
          <w:rFonts w:ascii="Arial" w:hAnsi="Arial" w:cs="Arial"/>
        </w:rPr>
      </w:pPr>
      <w:r w:rsidRPr="00C80F28">
        <w:rPr>
          <w:rFonts w:ascii="Arial" w:hAnsi="Arial" w:cs="Arial"/>
        </w:rPr>
        <w:t>The Student Finance Team will ensure that each application is considered individually, according to the applicant’s circumstances and in accordance with the College’s Equal Opportunities Policy.</w:t>
      </w:r>
      <w:r w:rsidR="00C80F28">
        <w:rPr>
          <w:rFonts w:ascii="Arial" w:hAnsi="Arial" w:cs="Arial"/>
        </w:rPr>
        <w:t xml:space="preserve"> </w:t>
      </w:r>
      <w:r w:rsidRPr="00C80F28">
        <w:rPr>
          <w:rFonts w:ascii="Arial" w:hAnsi="Arial" w:cs="Arial"/>
        </w:rPr>
        <w:t>Applicants to the fund must ensure that the information they provide on their application is accurate and completely honest. Any allegation or suspicion of a fraudulent application to the fund will be investigated and may result in action under the Student Disciplinary Procedure and/or criminal prosecution.</w:t>
      </w:r>
    </w:p>
    <w:p w14:paraId="52296537" w14:textId="77777777" w:rsidR="00C80F28" w:rsidRPr="00C80F28" w:rsidRDefault="00C80F28" w:rsidP="00C80F28">
      <w:pPr>
        <w:pStyle w:val="NoSpacing"/>
        <w:rPr>
          <w:rFonts w:ascii="Arial" w:hAnsi="Arial" w:cs="Arial"/>
        </w:rPr>
      </w:pPr>
    </w:p>
    <w:p w14:paraId="191CD855" w14:textId="6B5084B7" w:rsidR="00C74355" w:rsidRDefault="00C74355" w:rsidP="00747703">
      <w:pPr>
        <w:pStyle w:val="NoSpacing"/>
        <w:numPr>
          <w:ilvl w:val="0"/>
          <w:numId w:val="20"/>
        </w:numPr>
        <w:rPr>
          <w:rFonts w:ascii="Arial" w:hAnsi="Arial" w:cs="Arial"/>
          <w:b/>
          <w:bCs/>
        </w:rPr>
      </w:pPr>
      <w:r w:rsidRPr="00C80F28">
        <w:rPr>
          <w:rFonts w:ascii="Arial" w:hAnsi="Arial" w:cs="Arial"/>
          <w:b/>
          <w:bCs/>
        </w:rPr>
        <w:t>Equal Opportunities</w:t>
      </w:r>
    </w:p>
    <w:p w14:paraId="0B0061A9" w14:textId="77777777" w:rsidR="00747703" w:rsidRPr="00C80F28" w:rsidRDefault="00747703" w:rsidP="00747703">
      <w:pPr>
        <w:pStyle w:val="NoSpacing"/>
        <w:ind w:left="720"/>
        <w:rPr>
          <w:rFonts w:ascii="Arial" w:hAnsi="Arial" w:cs="Arial"/>
          <w:b/>
          <w:bCs/>
        </w:rPr>
      </w:pPr>
    </w:p>
    <w:p w14:paraId="02A3F732" w14:textId="77777777" w:rsidR="00C74355" w:rsidRPr="00C80F28" w:rsidRDefault="00C74355" w:rsidP="00C80F28">
      <w:pPr>
        <w:pStyle w:val="NoSpacing"/>
        <w:rPr>
          <w:rFonts w:ascii="Arial" w:hAnsi="Arial" w:cs="Arial"/>
        </w:rPr>
      </w:pPr>
      <w:r w:rsidRPr="00C80F28">
        <w:rPr>
          <w:rFonts w:ascii="Arial" w:hAnsi="Arial" w:cs="Arial"/>
        </w:rPr>
        <w:t xml:space="preserve">Underpinning the whole process is the College Equal Opportunities Policy. To ensure we adhere to equal opportunities, every part of the process must be transparent with all assessment procedures and any individual decisions documented with a rationale. </w:t>
      </w:r>
    </w:p>
    <w:p w14:paraId="674EE31F" w14:textId="77777777" w:rsidR="00892D5E" w:rsidRPr="00C80F28" w:rsidRDefault="00C74355" w:rsidP="00C80F28">
      <w:pPr>
        <w:pStyle w:val="NoSpacing"/>
        <w:rPr>
          <w:rFonts w:ascii="Arial" w:hAnsi="Arial" w:cs="Arial"/>
        </w:rPr>
      </w:pPr>
      <w:r w:rsidRPr="00C80F28">
        <w:rPr>
          <w:rFonts w:ascii="Arial" w:hAnsi="Arial" w:cs="Arial"/>
        </w:rPr>
        <w:t>Information gathered from applications and evaluation monitoring will be available to the College’s Learner Data Services.</w:t>
      </w:r>
    </w:p>
    <w:p w14:paraId="586FC07F" w14:textId="77777777" w:rsidR="0093544E" w:rsidRDefault="0093544E" w:rsidP="00C80F28">
      <w:pPr>
        <w:pStyle w:val="NoSpacing"/>
        <w:rPr>
          <w:rFonts w:ascii="Arial" w:hAnsi="Arial" w:cs="Arial"/>
          <w:b/>
          <w:bCs/>
        </w:rPr>
      </w:pPr>
    </w:p>
    <w:p w14:paraId="44EEFC87" w14:textId="67E8A8AC" w:rsidR="00C74355" w:rsidRDefault="00C74355" w:rsidP="00747703">
      <w:pPr>
        <w:pStyle w:val="NoSpacing"/>
        <w:numPr>
          <w:ilvl w:val="0"/>
          <w:numId w:val="20"/>
        </w:numPr>
        <w:rPr>
          <w:rFonts w:ascii="Arial" w:hAnsi="Arial" w:cs="Arial"/>
          <w:b/>
          <w:bCs/>
        </w:rPr>
      </w:pPr>
      <w:r w:rsidRPr="00C80F28">
        <w:rPr>
          <w:rFonts w:ascii="Arial" w:hAnsi="Arial" w:cs="Arial"/>
          <w:b/>
          <w:bCs/>
        </w:rPr>
        <w:t>Data Protection</w:t>
      </w:r>
    </w:p>
    <w:p w14:paraId="639BCA30" w14:textId="77777777" w:rsidR="00747703" w:rsidRPr="00C80F28" w:rsidRDefault="00747703" w:rsidP="00747703">
      <w:pPr>
        <w:pStyle w:val="NoSpacing"/>
        <w:ind w:left="720"/>
        <w:rPr>
          <w:rFonts w:ascii="Arial" w:hAnsi="Arial" w:cs="Arial"/>
          <w:b/>
          <w:bCs/>
        </w:rPr>
      </w:pPr>
    </w:p>
    <w:p w14:paraId="1F5AA95A" w14:textId="77777777" w:rsidR="00C74355" w:rsidRPr="00C80F28" w:rsidRDefault="00C74355" w:rsidP="00C80F28">
      <w:pPr>
        <w:pStyle w:val="NoSpacing"/>
        <w:rPr>
          <w:rFonts w:ascii="Arial" w:hAnsi="Arial" w:cs="Arial"/>
          <w:lang w:eastAsia="en-GB"/>
        </w:rPr>
      </w:pPr>
      <w:r w:rsidRPr="00C80F28">
        <w:rPr>
          <w:rFonts w:ascii="Arial" w:hAnsi="Arial" w:cs="Arial"/>
          <w:lang w:eastAsia="en-GB"/>
        </w:rPr>
        <w:lastRenderedPageBreak/>
        <w:t xml:space="preserve">The General Data Protection Regulation (GDPR) replaces the Data Protection Regulation from 25 May 2018. The Regulation aims to harmonise data protection legislation across EU member states, enhancing privacy rights for individuals and providing a strict framework. By signing the application form the learner has consented for the College to process their personal data for the sole purpose of processing Learner Support Fund and considering their eligibility to receive funds. If the Learner- Support Fund Application is successful, we will retain the application for seven years as we have a legal or contractual obligation to do so, after the seven-year period the College will then securely destroy the form. If the Learner Support Fund Application is unsuccessful, we will retain the application for one year and then securely destroy the form. The learner may withdraw consent to our processing of their personal information for a particular purpose, however, this may affect their eligibility to receive funds. </w:t>
      </w:r>
    </w:p>
    <w:p w14:paraId="741FA128" w14:textId="77777777" w:rsidR="00C80F28" w:rsidRDefault="00C80F28" w:rsidP="00C80F28">
      <w:pPr>
        <w:pStyle w:val="NoSpacing"/>
        <w:rPr>
          <w:rFonts w:ascii="Arial" w:hAnsi="Arial" w:cs="Arial"/>
          <w:bCs/>
        </w:rPr>
      </w:pPr>
    </w:p>
    <w:p w14:paraId="7C7675F6" w14:textId="719F0DD7" w:rsidR="00C80F28" w:rsidRDefault="00C80F28" w:rsidP="00747703">
      <w:pPr>
        <w:pStyle w:val="NoSpacing"/>
        <w:numPr>
          <w:ilvl w:val="0"/>
          <w:numId w:val="20"/>
        </w:numPr>
        <w:rPr>
          <w:rFonts w:ascii="Arial" w:hAnsi="Arial" w:cs="Arial"/>
          <w:b/>
        </w:rPr>
      </w:pPr>
      <w:r w:rsidRPr="00C80F28">
        <w:rPr>
          <w:rFonts w:ascii="Arial" w:hAnsi="Arial" w:cs="Arial"/>
          <w:b/>
        </w:rPr>
        <w:t xml:space="preserve">Appeals </w:t>
      </w:r>
    </w:p>
    <w:p w14:paraId="7DE2EE62" w14:textId="77777777" w:rsidR="00747703" w:rsidRPr="00C80F28" w:rsidRDefault="00747703" w:rsidP="00747703">
      <w:pPr>
        <w:pStyle w:val="NoSpacing"/>
        <w:ind w:left="720"/>
        <w:rPr>
          <w:rFonts w:ascii="Arial" w:hAnsi="Arial" w:cs="Arial"/>
          <w:b/>
        </w:rPr>
      </w:pPr>
    </w:p>
    <w:p w14:paraId="59E4D86C" w14:textId="77777777" w:rsidR="0030629A" w:rsidRDefault="00C80F28" w:rsidP="0030629A">
      <w:pPr>
        <w:pStyle w:val="NoSpacing"/>
        <w:rPr>
          <w:rStyle w:val="Hyperlink"/>
          <w:rFonts w:ascii="Arial" w:hAnsi="Arial" w:cs="Arial"/>
        </w:rPr>
      </w:pPr>
      <w:r w:rsidRPr="00C80F28">
        <w:rPr>
          <w:rFonts w:ascii="Arial" w:hAnsi="Arial" w:cs="Arial"/>
        </w:rPr>
        <w:t xml:space="preserve">If any learners are not satisfied with the decision regarding their bursary award, then can appeal in writing in line with the College’s Appeals Process. Further details can be accessed via </w:t>
      </w:r>
      <w:hyperlink r:id="rId11" w:history="1">
        <w:r w:rsidRPr="00C80F28">
          <w:rPr>
            <w:rStyle w:val="Hyperlink"/>
            <w:rFonts w:ascii="Arial" w:hAnsi="Arial" w:cs="Arial"/>
          </w:rPr>
          <w:t>https://www.waltham.ac.uk/contact/compliments-and-complaints</w:t>
        </w:r>
      </w:hyperlink>
    </w:p>
    <w:p w14:paraId="7FB81A4F" w14:textId="4320BC4E" w:rsidR="00C80F28" w:rsidRPr="00C80F28" w:rsidRDefault="00C80F28" w:rsidP="0030629A">
      <w:pPr>
        <w:pStyle w:val="NoSpacing"/>
        <w:rPr>
          <w:rFonts w:ascii="Arial" w:hAnsi="Arial" w:cs="Arial"/>
          <w:b/>
        </w:rPr>
      </w:pPr>
      <w:r w:rsidRPr="00C80F28">
        <w:rPr>
          <w:rFonts w:ascii="Arial" w:hAnsi="Arial" w:cs="Arial"/>
          <w:b/>
        </w:rPr>
        <w:t>Further Information</w:t>
      </w:r>
    </w:p>
    <w:p w14:paraId="54D63A11" w14:textId="77777777" w:rsidR="00C80F28" w:rsidRPr="00C83203" w:rsidRDefault="00C80F28" w:rsidP="00C80F28">
      <w:pPr>
        <w:pStyle w:val="NoSpacing"/>
        <w:rPr>
          <w:rFonts w:ascii="Arial" w:hAnsi="Arial" w:cs="Arial"/>
        </w:rPr>
      </w:pPr>
    </w:p>
    <w:p w14:paraId="42CC4EC4" w14:textId="47726018" w:rsidR="00C80F28" w:rsidRPr="00C83203" w:rsidRDefault="00C80F28" w:rsidP="00C83203">
      <w:pPr>
        <w:pStyle w:val="NoSpacing"/>
        <w:numPr>
          <w:ilvl w:val="0"/>
          <w:numId w:val="23"/>
        </w:numPr>
        <w:rPr>
          <w:rFonts w:ascii="Arial" w:hAnsi="Arial" w:cs="Arial"/>
        </w:rPr>
      </w:pPr>
      <w:r w:rsidRPr="00C83203">
        <w:rPr>
          <w:rFonts w:ascii="Arial" w:hAnsi="Arial" w:cs="Arial"/>
        </w:rPr>
        <w:t>ESFA Funding</w:t>
      </w:r>
      <w:r w:rsidR="00C83203" w:rsidRPr="00C83203">
        <w:rPr>
          <w:rFonts w:ascii="Arial" w:hAnsi="Arial" w:cs="Arial"/>
        </w:rPr>
        <w:t xml:space="preserve"> </w:t>
      </w:r>
      <w:hyperlink r:id="rId12" w:history="1">
        <w:r w:rsidR="00AD3791" w:rsidRPr="00C83203">
          <w:rPr>
            <w:rStyle w:val="Hyperlink"/>
            <w:rFonts w:ascii="Arial" w:hAnsi="Arial" w:cs="Arial"/>
          </w:rPr>
          <w:t>Advice: funding rules for 16 to 19 provision 2025 to 2026 - GOV.UK</w:t>
        </w:r>
      </w:hyperlink>
      <w:r w:rsidR="00714C6C" w:rsidRPr="00C83203">
        <w:rPr>
          <w:rFonts w:ascii="Arial" w:hAnsi="Arial" w:cs="Arial"/>
        </w:rPr>
        <w:t>.</w:t>
      </w:r>
      <w:r w:rsidR="00C336FB" w:rsidRPr="00C83203">
        <w:rPr>
          <w:rFonts w:ascii="Arial" w:hAnsi="Arial" w:cs="Arial"/>
        </w:rPr>
        <w:t xml:space="preserve"> </w:t>
      </w:r>
    </w:p>
    <w:p w14:paraId="7B7AA2AA" w14:textId="20AFE49B" w:rsidR="00472D27" w:rsidRPr="00C83203" w:rsidRDefault="00472D27" w:rsidP="00C83203">
      <w:pPr>
        <w:pStyle w:val="NoSpacing"/>
        <w:numPr>
          <w:ilvl w:val="0"/>
          <w:numId w:val="23"/>
        </w:numPr>
        <w:rPr>
          <w:rFonts w:ascii="Arial" w:hAnsi="Arial" w:cs="Arial"/>
        </w:rPr>
      </w:pPr>
      <w:r w:rsidRPr="00C83203">
        <w:rPr>
          <w:rFonts w:ascii="Arial" w:hAnsi="Arial" w:cs="Arial"/>
        </w:rPr>
        <w:t>Free Meals</w:t>
      </w:r>
      <w:r w:rsidR="00EB40C6" w:rsidRPr="00C83203">
        <w:rPr>
          <w:rFonts w:ascii="Arial" w:hAnsi="Arial" w:cs="Arial"/>
        </w:rPr>
        <w:t xml:space="preserve"> in Further Education</w:t>
      </w:r>
      <w:r w:rsidR="00E37186" w:rsidRPr="00C83203">
        <w:rPr>
          <w:rFonts w:ascii="Arial" w:hAnsi="Arial" w:cs="Arial"/>
        </w:rPr>
        <w:t xml:space="preserve"> </w:t>
      </w:r>
      <w:hyperlink r:id="rId13" w:history="1">
        <w:r w:rsidR="00AD3791" w:rsidRPr="00C83203">
          <w:rPr>
            <w:rStyle w:val="Hyperlink"/>
            <w:rFonts w:ascii="Arial" w:hAnsi="Arial" w:cs="Arial"/>
          </w:rPr>
          <w:t>Free meals in further education funded institutions guide: academic year 2025 to 2026 - GOV.UK</w:t>
        </w:r>
      </w:hyperlink>
    </w:p>
    <w:p w14:paraId="625BF8C4" w14:textId="78BCD72F" w:rsidR="006867CF" w:rsidRPr="00C83203" w:rsidRDefault="006867CF" w:rsidP="00C83203">
      <w:pPr>
        <w:pStyle w:val="NoSpacing"/>
        <w:numPr>
          <w:ilvl w:val="0"/>
          <w:numId w:val="23"/>
        </w:numPr>
        <w:rPr>
          <w:rFonts w:ascii="Arial" w:eastAsia="Times New Roman" w:hAnsi="Arial" w:cs="Arial"/>
          <w:color w:val="0B0C0C"/>
          <w:lang w:eastAsia="en-GB"/>
        </w:rPr>
      </w:pPr>
      <w:r w:rsidRPr="00C83203">
        <w:rPr>
          <w:rFonts w:ascii="Arial" w:hAnsi="Arial" w:cs="Arial"/>
        </w:rPr>
        <w:t xml:space="preserve">ESFA </w:t>
      </w:r>
      <w:r w:rsidR="00A81021" w:rsidRPr="00C83203">
        <w:rPr>
          <w:rFonts w:ascii="Arial" w:hAnsi="Arial" w:cs="Arial"/>
        </w:rPr>
        <w:t>A</w:t>
      </w:r>
      <w:r w:rsidR="00714C6C" w:rsidRPr="00C83203">
        <w:rPr>
          <w:rFonts w:ascii="Arial" w:hAnsi="Arial" w:cs="Arial"/>
        </w:rPr>
        <w:t xml:space="preserve">dult </w:t>
      </w:r>
      <w:r w:rsidR="00A81021" w:rsidRPr="00C83203">
        <w:rPr>
          <w:rFonts w:ascii="Arial" w:hAnsi="Arial" w:cs="Arial"/>
        </w:rPr>
        <w:t>E</w:t>
      </w:r>
      <w:r w:rsidR="00714C6C" w:rsidRPr="00C83203">
        <w:rPr>
          <w:rFonts w:ascii="Arial" w:hAnsi="Arial" w:cs="Arial"/>
        </w:rPr>
        <w:t xml:space="preserve">ducation budget </w:t>
      </w:r>
      <w:hyperlink r:id="rId14" w:history="1">
        <w:r w:rsidR="00AD3791" w:rsidRPr="00C83203">
          <w:rPr>
            <w:rStyle w:val="Hyperlink"/>
            <w:rFonts w:ascii="Arial" w:hAnsi="Arial" w:cs="Arial"/>
          </w:rPr>
          <w:t>Adult education and skills funding allocations: update for 2025 to 2026 - GOV.UK</w:t>
        </w:r>
      </w:hyperlink>
    </w:p>
    <w:p w14:paraId="7ECCEFE1" w14:textId="744C42AD" w:rsidR="00786B57" w:rsidRPr="00C83203" w:rsidRDefault="00786B57" w:rsidP="00C83203">
      <w:pPr>
        <w:pStyle w:val="NoSpacing"/>
        <w:numPr>
          <w:ilvl w:val="0"/>
          <w:numId w:val="23"/>
        </w:numPr>
        <w:rPr>
          <w:rFonts w:ascii="Arial" w:eastAsia="Times New Roman" w:hAnsi="Arial" w:cs="Arial"/>
          <w:color w:val="0B0C0C"/>
          <w:lang w:eastAsia="en-GB"/>
        </w:rPr>
      </w:pPr>
      <w:r w:rsidRPr="00C83203">
        <w:rPr>
          <w:rFonts w:ascii="Arial" w:hAnsi="Arial" w:cs="Arial"/>
        </w:rPr>
        <w:t xml:space="preserve">Advance Learner Loans Bursary  </w:t>
      </w:r>
      <w:hyperlink r:id="rId15" w:history="1">
        <w:r w:rsidR="00AD3791" w:rsidRPr="00C83203">
          <w:rPr>
            <w:rStyle w:val="Hyperlink"/>
            <w:rFonts w:ascii="Arial" w:hAnsi="Arial" w:cs="Arial"/>
          </w:rPr>
          <w:t>Advanced learner loans funding and performance management rules: 2025 to 2026 - GOV.UK</w:t>
        </w:r>
      </w:hyperlink>
    </w:p>
    <w:p w14:paraId="25E786DF" w14:textId="77777777" w:rsidR="00C336FB" w:rsidRPr="00C336FB" w:rsidRDefault="00C336FB" w:rsidP="00C80F28">
      <w:pPr>
        <w:pStyle w:val="NoSpacing"/>
        <w:rPr>
          <w:rFonts w:ascii="Arial" w:hAnsi="Arial" w:cs="Arial"/>
        </w:rPr>
      </w:pPr>
    </w:p>
    <w:p w14:paraId="35E0816E" w14:textId="6E82C5B0" w:rsidR="00C80F28" w:rsidRPr="00DD75C5" w:rsidRDefault="00C80F28" w:rsidP="00DD75C5">
      <w:pPr>
        <w:rPr>
          <w:rFonts w:ascii="Arial" w:eastAsia="Times New Roman" w:hAnsi="Arial" w:cs="Arial"/>
          <w:color w:val="0B0C0C"/>
          <w:lang w:eastAsia="en-GB"/>
        </w:rPr>
      </w:pPr>
      <w:r w:rsidRPr="00C80F28">
        <w:rPr>
          <w:rFonts w:ascii="Arial" w:eastAsia="Times New Roman" w:hAnsi="Arial" w:cs="Arial"/>
          <w:b/>
          <w:bCs/>
          <w:color w:val="0B0C0C"/>
          <w:lang w:eastAsia="en-GB"/>
        </w:rPr>
        <w:t>APPENDIX A</w:t>
      </w:r>
      <w:r>
        <w:rPr>
          <w:rFonts w:ascii="Arial" w:eastAsia="Times New Roman" w:hAnsi="Arial" w:cs="Arial"/>
          <w:b/>
          <w:bCs/>
          <w:color w:val="0B0C0C"/>
          <w:lang w:eastAsia="en-GB"/>
        </w:rPr>
        <w:t xml:space="preserve">: </w:t>
      </w:r>
      <w:r w:rsidRPr="00C80F28">
        <w:rPr>
          <w:rFonts w:ascii="Arial" w:eastAsia="Times New Roman" w:hAnsi="Arial" w:cs="Arial"/>
          <w:b/>
          <w:bCs/>
          <w:color w:val="0B0C0C"/>
          <w:lang w:eastAsia="en-GB"/>
        </w:rPr>
        <w:t xml:space="preserve">Eligibility Criteria </w:t>
      </w:r>
      <w:r w:rsidR="00AD3791">
        <w:rPr>
          <w:rFonts w:ascii="Arial" w:eastAsia="Times New Roman" w:hAnsi="Arial" w:cs="Arial"/>
          <w:b/>
          <w:bCs/>
          <w:lang w:eastAsia="en-GB"/>
        </w:rPr>
        <w:t>2025-2026</w:t>
      </w:r>
    </w:p>
    <w:p w14:paraId="00D22EC2" w14:textId="77777777" w:rsidR="00393060" w:rsidRDefault="00393060" w:rsidP="00C80F28">
      <w:pPr>
        <w:pStyle w:val="NoSpacing"/>
        <w:rPr>
          <w:rFonts w:ascii="Arial" w:eastAsia="Times New Roman" w:hAnsi="Arial" w:cs="Arial"/>
          <w:b/>
          <w:bCs/>
          <w:color w:val="0B0C0C"/>
          <w:lang w:eastAsia="en-GB"/>
        </w:rPr>
      </w:pPr>
    </w:p>
    <w:p w14:paraId="1A587B21" w14:textId="77777777" w:rsidR="00393060" w:rsidRPr="00393060" w:rsidRDefault="00393060" w:rsidP="00393060">
      <w:pPr>
        <w:pStyle w:val="NoSpacing"/>
        <w:rPr>
          <w:rFonts w:ascii="Arial" w:hAnsi="Arial" w:cs="Arial"/>
        </w:rPr>
      </w:pPr>
      <w:r w:rsidRPr="00393060">
        <w:rPr>
          <w:rFonts w:ascii="Arial" w:hAnsi="Arial" w:cs="Arial"/>
        </w:rPr>
        <w:t xml:space="preserve">Household income is defined by support fund with priority given to </w:t>
      </w:r>
      <w:r>
        <w:rPr>
          <w:rFonts w:ascii="Arial" w:hAnsi="Arial" w:cs="Arial"/>
        </w:rPr>
        <w:t xml:space="preserve">learners </w:t>
      </w:r>
      <w:r w:rsidRPr="00393060">
        <w:rPr>
          <w:rFonts w:ascii="Arial" w:hAnsi="Arial" w:cs="Arial"/>
        </w:rPr>
        <w:t>with income falling on and below the threshold set each academic yea</w:t>
      </w:r>
      <w:r>
        <w:rPr>
          <w:rFonts w:ascii="Arial" w:hAnsi="Arial" w:cs="Arial"/>
        </w:rPr>
        <w:t xml:space="preserve">r. </w:t>
      </w:r>
      <w:r w:rsidRPr="00393060">
        <w:rPr>
          <w:rFonts w:ascii="Arial" w:hAnsi="Arial" w:cs="Arial"/>
        </w:rPr>
        <w:t>Deductions are made from household income for dependants, we will also make deductions for dependent children who are 18+ and in education with consideration given to children at university up to the age of 23 (evidence required)</w:t>
      </w:r>
      <w:r>
        <w:rPr>
          <w:rFonts w:ascii="Arial" w:hAnsi="Arial" w:cs="Arial"/>
        </w:rPr>
        <w:t xml:space="preserve">. </w:t>
      </w:r>
      <w:r w:rsidRPr="00393060">
        <w:rPr>
          <w:rFonts w:ascii="Arial" w:hAnsi="Arial" w:cs="Arial"/>
        </w:rPr>
        <w:t>The College may choose to use discretion where household income exceeds this amount but a need for support is identified</w:t>
      </w:r>
      <w:r>
        <w:rPr>
          <w:rFonts w:ascii="Arial" w:hAnsi="Arial" w:cs="Arial"/>
        </w:rPr>
        <w:t xml:space="preserve">. </w:t>
      </w:r>
    </w:p>
    <w:p w14:paraId="4F7872BC" w14:textId="77777777" w:rsidR="00393060" w:rsidRDefault="00393060" w:rsidP="00C80F28">
      <w:pPr>
        <w:pStyle w:val="NoSpacing"/>
        <w:rPr>
          <w:rFonts w:ascii="Arial" w:eastAsia="Times New Roman" w:hAnsi="Arial" w:cs="Arial"/>
          <w:b/>
          <w:bCs/>
          <w:color w:val="0B0C0C"/>
          <w:lang w:eastAsia="en-GB"/>
        </w:rPr>
      </w:pPr>
    </w:p>
    <w:p w14:paraId="5AD68228" w14:textId="29E6D08C" w:rsidR="00424DCD" w:rsidRPr="00414079" w:rsidRDefault="00393060" w:rsidP="00C80F28">
      <w:pPr>
        <w:pStyle w:val="NoSpacing"/>
        <w:rPr>
          <w:rFonts w:ascii="Arial" w:eastAsia="Times New Roman" w:hAnsi="Arial" w:cs="Arial"/>
          <w:color w:val="0B0C0C"/>
          <w:lang w:eastAsia="en-GB"/>
        </w:rPr>
      </w:pPr>
      <w:r w:rsidRPr="00414079">
        <w:rPr>
          <w:rFonts w:ascii="Arial" w:eastAsia="Times New Roman" w:hAnsi="Arial" w:cs="Arial"/>
          <w:color w:val="0B0C0C"/>
          <w:lang w:eastAsia="en-GB"/>
        </w:rPr>
        <w:t>Maximum levels of support for 16-1</w:t>
      </w:r>
      <w:r w:rsidR="00AD3791">
        <w:rPr>
          <w:rFonts w:ascii="Arial" w:eastAsia="Times New Roman" w:hAnsi="Arial" w:cs="Arial"/>
          <w:color w:val="0B0C0C"/>
          <w:lang w:eastAsia="en-GB"/>
        </w:rPr>
        <w:t>8</w:t>
      </w:r>
      <w:r w:rsidRPr="00414079">
        <w:rPr>
          <w:rFonts w:ascii="Arial" w:eastAsia="Times New Roman" w:hAnsi="Arial" w:cs="Arial"/>
          <w:color w:val="0B0C0C"/>
          <w:lang w:eastAsia="en-GB"/>
        </w:rPr>
        <w:t xml:space="preserve"> students:</w:t>
      </w:r>
    </w:p>
    <w:p w14:paraId="724C113E" w14:textId="77777777" w:rsidR="00424DCD" w:rsidRDefault="00424DCD" w:rsidP="00C80F28">
      <w:pPr>
        <w:pStyle w:val="NoSpacing"/>
        <w:rPr>
          <w:rFonts w:ascii="Arial" w:eastAsia="Times New Roman" w:hAnsi="Arial" w:cs="Arial"/>
          <w:b/>
          <w:bCs/>
          <w:color w:val="0B0C0C"/>
          <w:lang w:eastAsia="en-GB"/>
        </w:rPr>
      </w:pPr>
    </w:p>
    <w:tbl>
      <w:tblPr>
        <w:tblStyle w:val="TableGrid"/>
        <w:tblW w:w="9808" w:type="dxa"/>
        <w:tblLook w:val="04A0" w:firstRow="1" w:lastRow="0" w:firstColumn="1" w:lastColumn="0" w:noHBand="0" w:noVBand="1"/>
      </w:tblPr>
      <w:tblGrid>
        <w:gridCol w:w="2452"/>
        <w:gridCol w:w="2452"/>
        <w:gridCol w:w="2452"/>
        <w:gridCol w:w="2452"/>
      </w:tblGrid>
      <w:tr w:rsidR="00424DCD" w:rsidRPr="00424DCD" w14:paraId="5A6D8973" w14:textId="77777777" w:rsidTr="00F3140B">
        <w:trPr>
          <w:trHeight w:val="478"/>
        </w:trPr>
        <w:tc>
          <w:tcPr>
            <w:tcW w:w="2452" w:type="dxa"/>
            <w:shd w:val="clear" w:color="auto" w:fill="44546A" w:themeFill="text2"/>
          </w:tcPr>
          <w:p w14:paraId="6B3E7A1F" w14:textId="77777777" w:rsidR="00424DCD" w:rsidRPr="00747703" w:rsidRDefault="00424DCD" w:rsidP="00C80F28">
            <w:pPr>
              <w:pStyle w:val="NoSpacing"/>
              <w:rPr>
                <w:rFonts w:ascii="Arial" w:eastAsia="Times New Roman" w:hAnsi="Arial" w:cs="Arial"/>
                <w:b/>
                <w:bCs/>
                <w:color w:val="FFFFFF" w:themeColor="background1"/>
                <w:sz w:val="16"/>
                <w:szCs w:val="16"/>
                <w:lang w:eastAsia="en-GB"/>
              </w:rPr>
            </w:pPr>
            <w:r w:rsidRPr="00747703">
              <w:rPr>
                <w:rFonts w:ascii="Arial" w:eastAsia="Times New Roman" w:hAnsi="Arial" w:cs="Arial"/>
                <w:color w:val="FFFFFF" w:themeColor="background1"/>
                <w:sz w:val="16"/>
                <w:szCs w:val="16"/>
                <w:lang w:eastAsia="en-GB"/>
              </w:rPr>
              <w:t>Age</w:t>
            </w:r>
          </w:p>
        </w:tc>
        <w:tc>
          <w:tcPr>
            <w:tcW w:w="2452" w:type="dxa"/>
            <w:shd w:val="clear" w:color="auto" w:fill="44546A" w:themeFill="text2"/>
          </w:tcPr>
          <w:p w14:paraId="56DFE82D" w14:textId="77777777" w:rsidR="00424DCD" w:rsidRPr="00747703" w:rsidRDefault="00424DCD" w:rsidP="00424DCD">
            <w:pPr>
              <w:pStyle w:val="NoSpacing"/>
              <w:jc w:val="center"/>
              <w:rPr>
                <w:rFonts w:ascii="Arial" w:eastAsia="Times New Roman" w:hAnsi="Arial" w:cs="Arial"/>
                <w:b/>
                <w:bCs/>
                <w:color w:val="FFFFFF" w:themeColor="background1"/>
                <w:sz w:val="16"/>
                <w:szCs w:val="16"/>
                <w:lang w:eastAsia="en-GB"/>
              </w:rPr>
            </w:pPr>
            <w:r w:rsidRPr="00747703">
              <w:rPr>
                <w:rFonts w:ascii="Arial" w:eastAsia="Times New Roman" w:hAnsi="Arial" w:cs="Arial"/>
                <w:color w:val="FFFFFF" w:themeColor="background1"/>
                <w:sz w:val="16"/>
                <w:szCs w:val="16"/>
                <w:lang w:eastAsia="en-GB"/>
              </w:rPr>
              <w:t>Level of Income</w:t>
            </w:r>
          </w:p>
        </w:tc>
        <w:tc>
          <w:tcPr>
            <w:tcW w:w="2452" w:type="dxa"/>
            <w:shd w:val="clear" w:color="auto" w:fill="44546A" w:themeFill="text2"/>
          </w:tcPr>
          <w:p w14:paraId="66DAFC5C" w14:textId="77777777" w:rsidR="00424DCD" w:rsidRPr="00747703" w:rsidRDefault="00424DCD" w:rsidP="00424DCD">
            <w:pPr>
              <w:pStyle w:val="NoSpacing"/>
              <w:jc w:val="center"/>
              <w:rPr>
                <w:rFonts w:ascii="Arial" w:eastAsia="Times New Roman" w:hAnsi="Arial" w:cs="Arial"/>
                <w:b/>
                <w:bCs/>
                <w:color w:val="FFFFFF" w:themeColor="background1"/>
                <w:sz w:val="16"/>
                <w:szCs w:val="16"/>
                <w:lang w:eastAsia="en-GB"/>
              </w:rPr>
            </w:pPr>
            <w:r w:rsidRPr="00747703">
              <w:rPr>
                <w:rFonts w:ascii="Arial" w:eastAsia="Times New Roman" w:hAnsi="Arial" w:cs="Arial"/>
                <w:color w:val="FFFFFF" w:themeColor="background1"/>
                <w:sz w:val="16"/>
                <w:szCs w:val="16"/>
                <w:lang w:eastAsia="en-GB"/>
              </w:rPr>
              <w:t>Equipment/Course cost % of contribution</w:t>
            </w:r>
          </w:p>
        </w:tc>
        <w:tc>
          <w:tcPr>
            <w:tcW w:w="2452" w:type="dxa"/>
            <w:shd w:val="clear" w:color="auto" w:fill="44546A" w:themeFill="text2"/>
          </w:tcPr>
          <w:p w14:paraId="7A10327B" w14:textId="77777777" w:rsidR="00424DCD" w:rsidRPr="00747703" w:rsidRDefault="00424DCD" w:rsidP="00424DCD">
            <w:pPr>
              <w:pStyle w:val="NoSpacing"/>
              <w:jc w:val="center"/>
              <w:rPr>
                <w:rFonts w:ascii="Arial" w:eastAsia="Times New Roman" w:hAnsi="Arial" w:cs="Arial"/>
                <w:b/>
                <w:bCs/>
                <w:color w:val="FFFFFF" w:themeColor="background1"/>
                <w:sz w:val="16"/>
                <w:szCs w:val="16"/>
                <w:lang w:eastAsia="en-GB"/>
              </w:rPr>
            </w:pPr>
            <w:r w:rsidRPr="00747703">
              <w:rPr>
                <w:rFonts w:ascii="Arial" w:eastAsia="Times New Roman" w:hAnsi="Arial" w:cs="Arial"/>
                <w:color w:val="FFFFFF" w:themeColor="background1"/>
                <w:sz w:val="16"/>
                <w:szCs w:val="16"/>
                <w:lang w:eastAsia="en-GB"/>
              </w:rPr>
              <w:t>Travel</w:t>
            </w:r>
          </w:p>
        </w:tc>
      </w:tr>
      <w:tr w:rsidR="00424DCD" w:rsidRPr="00424DCD" w14:paraId="62BA33CC" w14:textId="77777777" w:rsidTr="00414079">
        <w:trPr>
          <w:trHeight w:val="405"/>
        </w:trPr>
        <w:tc>
          <w:tcPr>
            <w:tcW w:w="2452" w:type="dxa"/>
          </w:tcPr>
          <w:p w14:paraId="373EE8DB" w14:textId="77777777" w:rsidR="00424DCD" w:rsidRPr="00747703" w:rsidRDefault="00424DCD" w:rsidP="00C80F28">
            <w:pPr>
              <w:pStyle w:val="NoSpacing"/>
              <w:rPr>
                <w:rFonts w:ascii="Arial" w:eastAsia="Times New Roman" w:hAnsi="Arial" w:cs="Arial"/>
                <w:color w:val="0B0C0C"/>
                <w:sz w:val="16"/>
                <w:szCs w:val="16"/>
                <w:lang w:eastAsia="en-GB"/>
              </w:rPr>
            </w:pPr>
            <w:r w:rsidRPr="00747703">
              <w:rPr>
                <w:rFonts w:ascii="Arial" w:eastAsia="Times New Roman" w:hAnsi="Arial" w:cs="Arial"/>
                <w:color w:val="0B0C0C"/>
                <w:sz w:val="16"/>
                <w:szCs w:val="16"/>
                <w:lang w:eastAsia="en-GB"/>
              </w:rPr>
              <w:t>16-18 (Including 19-24 on EHCP)</w:t>
            </w:r>
          </w:p>
        </w:tc>
        <w:tc>
          <w:tcPr>
            <w:tcW w:w="2452" w:type="dxa"/>
          </w:tcPr>
          <w:p w14:paraId="235A7D31" w14:textId="16DB5C02" w:rsidR="00424DCD" w:rsidRDefault="00424DCD" w:rsidP="00424DCD">
            <w:pPr>
              <w:pStyle w:val="NoSpacing"/>
              <w:jc w:val="center"/>
              <w:rPr>
                <w:rFonts w:ascii="Arial" w:eastAsia="Times New Roman" w:hAnsi="Arial" w:cs="Arial"/>
                <w:color w:val="0B0C0C"/>
                <w:sz w:val="16"/>
                <w:szCs w:val="16"/>
                <w:lang w:eastAsia="en-GB"/>
              </w:rPr>
            </w:pPr>
            <w:r w:rsidRPr="00132771">
              <w:rPr>
                <w:rFonts w:ascii="Arial" w:eastAsia="Times New Roman" w:hAnsi="Arial" w:cs="Arial"/>
                <w:color w:val="0B0C0C"/>
                <w:sz w:val="16"/>
                <w:szCs w:val="16"/>
                <w:lang w:eastAsia="en-GB"/>
              </w:rPr>
              <w:t>Income under £2</w:t>
            </w:r>
            <w:r w:rsidR="00886BD6">
              <w:rPr>
                <w:rFonts w:ascii="Arial" w:eastAsia="Times New Roman" w:hAnsi="Arial" w:cs="Arial"/>
                <w:color w:val="0B0C0C"/>
                <w:sz w:val="16"/>
                <w:szCs w:val="16"/>
                <w:lang w:eastAsia="en-GB"/>
              </w:rPr>
              <w:t>7</w:t>
            </w:r>
            <w:r w:rsidRPr="00132771">
              <w:rPr>
                <w:rFonts w:ascii="Arial" w:eastAsia="Times New Roman" w:hAnsi="Arial" w:cs="Arial"/>
                <w:color w:val="0B0C0C"/>
                <w:sz w:val="16"/>
                <w:szCs w:val="16"/>
                <w:lang w:eastAsia="en-GB"/>
              </w:rPr>
              <w:t>,000</w:t>
            </w:r>
          </w:p>
          <w:p w14:paraId="0377D881" w14:textId="36DC249D" w:rsidR="00AD3791" w:rsidRPr="00747703" w:rsidRDefault="00AD3791" w:rsidP="00424DCD">
            <w:pPr>
              <w:pStyle w:val="NoSpacing"/>
              <w:jc w:val="center"/>
              <w:rPr>
                <w:rFonts w:ascii="Arial" w:eastAsia="Times New Roman" w:hAnsi="Arial" w:cs="Arial"/>
                <w:b/>
                <w:bCs/>
                <w:color w:val="0B0C0C"/>
                <w:sz w:val="16"/>
                <w:szCs w:val="16"/>
                <w:lang w:eastAsia="en-GB"/>
              </w:rPr>
            </w:pPr>
            <w:r>
              <w:rPr>
                <w:rFonts w:ascii="Arial" w:eastAsia="Times New Roman" w:hAnsi="Arial" w:cs="Arial"/>
                <w:b/>
                <w:bCs/>
                <w:color w:val="0B0C0C"/>
                <w:sz w:val="16"/>
                <w:szCs w:val="16"/>
                <w:lang w:eastAsia="en-GB"/>
              </w:rPr>
              <w:t>(Salary plus Universal credit amount</w:t>
            </w:r>
          </w:p>
        </w:tc>
        <w:tc>
          <w:tcPr>
            <w:tcW w:w="2452" w:type="dxa"/>
          </w:tcPr>
          <w:p w14:paraId="27B97028" w14:textId="0BCBF378" w:rsidR="00424DCD" w:rsidRPr="00747703" w:rsidRDefault="00856C4E" w:rsidP="00424DCD">
            <w:pPr>
              <w:pStyle w:val="NoSpacing"/>
              <w:jc w:val="center"/>
              <w:rPr>
                <w:rFonts w:ascii="Arial" w:eastAsia="Times New Roman" w:hAnsi="Arial" w:cs="Arial"/>
                <w:b/>
                <w:bCs/>
                <w:color w:val="0B0C0C"/>
                <w:sz w:val="16"/>
                <w:szCs w:val="16"/>
                <w:lang w:eastAsia="en-GB"/>
              </w:rPr>
            </w:pPr>
            <w:r w:rsidRPr="00747703">
              <w:rPr>
                <w:rFonts w:ascii="Arial" w:eastAsia="Times New Roman" w:hAnsi="Arial" w:cs="Arial"/>
                <w:color w:val="0B0C0C"/>
                <w:sz w:val="16"/>
                <w:szCs w:val="16"/>
                <w:lang w:eastAsia="en-GB"/>
              </w:rPr>
              <w:t>75</w:t>
            </w:r>
            <w:r w:rsidR="00424DCD" w:rsidRPr="00747703">
              <w:rPr>
                <w:rFonts w:ascii="Arial" w:eastAsia="Times New Roman" w:hAnsi="Arial" w:cs="Arial"/>
                <w:color w:val="0B0C0C"/>
                <w:sz w:val="16"/>
                <w:szCs w:val="16"/>
                <w:lang w:eastAsia="en-GB"/>
              </w:rPr>
              <w:t>%</w:t>
            </w:r>
          </w:p>
        </w:tc>
        <w:tc>
          <w:tcPr>
            <w:tcW w:w="2452" w:type="dxa"/>
          </w:tcPr>
          <w:p w14:paraId="10107737" w14:textId="359D2727" w:rsidR="00424DCD" w:rsidRPr="0030629A" w:rsidRDefault="00424DCD" w:rsidP="00424DCD">
            <w:pPr>
              <w:pStyle w:val="NoSpacing"/>
              <w:jc w:val="center"/>
              <w:rPr>
                <w:rFonts w:ascii="Arial" w:eastAsia="Times New Roman" w:hAnsi="Arial" w:cs="Arial"/>
                <w:b/>
                <w:bCs/>
                <w:sz w:val="16"/>
                <w:szCs w:val="16"/>
                <w:lang w:eastAsia="en-GB"/>
              </w:rPr>
            </w:pPr>
            <w:r w:rsidRPr="0030629A">
              <w:rPr>
                <w:rFonts w:ascii="Arial" w:eastAsia="Times New Roman" w:hAnsi="Arial" w:cs="Arial"/>
                <w:sz w:val="16"/>
                <w:szCs w:val="16"/>
                <w:lang w:eastAsia="en-GB"/>
              </w:rPr>
              <w:t>100% (not exceeding £1,</w:t>
            </w:r>
            <w:r w:rsidR="00856C4E" w:rsidRPr="0030629A">
              <w:rPr>
                <w:rFonts w:ascii="Arial" w:eastAsia="Times New Roman" w:hAnsi="Arial" w:cs="Arial"/>
                <w:sz w:val="16"/>
                <w:szCs w:val="16"/>
                <w:lang w:eastAsia="en-GB"/>
              </w:rPr>
              <w:t>0</w:t>
            </w:r>
            <w:r w:rsidRPr="0030629A">
              <w:rPr>
                <w:rFonts w:ascii="Arial" w:eastAsia="Times New Roman" w:hAnsi="Arial" w:cs="Arial"/>
                <w:sz w:val="16"/>
                <w:szCs w:val="16"/>
                <w:lang w:eastAsia="en-GB"/>
              </w:rPr>
              <w:t>00.00)</w:t>
            </w:r>
          </w:p>
        </w:tc>
      </w:tr>
      <w:tr w:rsidR="00424DCD" w:rsidRPr="00424DCD" w14:paraId="200E65E5" w14:textId="77777777" w:rsidTr="00414079">
        <w:trPr>
          <w:trHeight w:val="269"/>
        </w:trPr>
        <w:tc>
          <w:tcPr>
            <w:tcW w:w="2452" w:type="dxa"/>
          </w:tcPr>
          <w:p w14:paraId="1C620981" w14:textId="77777777" w:rsidR="00424DCD" w:rsidRPr="00747703" w:rsidRDefault="00424DCD" w:rsidP="00C80F28">
            <w:pPr>
              <w:pStyle w:val="NoSpacing"/>
              <w:rPr>
                <w:rFonts w:ascii="Arial" w:eastAsia="Times New Roman" w:hAnsi="Arial" w:cs="Arial"/>
                <w:color w:val="0B0C0C"/>
                <w:sz w:val="16"/>
                <w:szCs w:val="16"/>
                <w:lang w:eastAsia="en-GB"/>
              </w:rPr>
            </w:pPr>
            <w:r w:rsidRPr="00747703">
              <w:rPr>
                <w:rFonts w:ascii="Arial" w:eastAsia="Times New Roman" w:hAnsi="Arial" w:cs="Arial"/>
                <w:color w:val="0B0C0C"/>
                <w:sz w:val="16"/>
                <w:szCs w:val="16"/>
                <w:lang w:eastAsia="en-GB"/>
              </w:rPr>
              <w:t>16-18 (Including 19-24 on EHCP)</w:t>
            </w:r>
          </w:p>
        </w:tc>
        <w:tc>
          <w:tcPr>
            <w:tcW w:w="2452" w:type="dxa"/>
          </w:tcPr>
          <w:p w14:paraId="61CCE32B" w14:textId="77777777" w:rsidR="00424DCD" w:rsidRDefault="00424DCD" w:rsidP="00424DCD">
            <w:pPr>
              <w:pStyle w:val="NoSpacing"/>
              <w:jc w:val="center"/>
              <w:rPr>
                <w:rFonts w:ascii="Arial" w:eastAsia="Times New Roman" w:hAnsi="Arial" w:cs="Arial"/>
                <w:color w:val="0B0C0C"/>
                <w:sz w:val="16"/>
                <w:szCs w:val="16"/>
                <w:lang w:eastAsia="en-GB"/>
              </w:rPr>
            </w:pPr>
            <w:r w:rsidRPr="00747703">
              <w:rPr>
                <w:rFonts w:ascii="Arial" w:eastAsia="Times New Roman" w:hAnsi="Arial" w:cs="Arial"/>
                <w:color w:val="0B0C0C"/>
                <w:sz w:val="16"/>
                <w:szCs w:val="16"/>
                <w:lang w:eastAsia="en-GB"/>
              </w:rPr>
              <w:t>Income based benefits</w:t>
            </w:r>
          </w:p>
          <w:p w14:paraId="78135F05" w14:textId="09022992" w:rsidR="00AD3791" w:rsidRPr="00747703" w:rsidRDefault="00AD3791" w:rsidP="00424DCD">
            <w:pPr>
              <w:pStyle w:val="NoSpacing"/>
              <w:jc w:val="center"/>
              <w:rPr>
                <w:rFonts w:ascii="Arial" w:eastAsia="Times New Roman" w:hAnsi="Arial" w:cs="Arial"/>
                <w:b/>
                <w:bCs/>
                <w:color w:val="0B0C0C"/>
                <w:sz w:val="16"/>
                <w:szCs w:val="16"/>
                <w:lang w:eastAsia="en-GB"/>
              </w:rPr>
            </w:pPr>
            <w:r>
              <w:rPr>
                <w:rFonts w:ascii="Arial" w:eastAsia="Times New Roman" w:hAnsi="Arial" w:cs="Arial"/>
                <w:b/>
                <w:bCs/>
                <w:color w:val="0B0C0C"/>
                <w:sz w:val="16"/>
                <w:szCs w:val="16"/>
                <w:lang w:eastAsia="en-GB"/>
              </w:rPr>
              <w:t>Salary plus Universal credit amount</w:t>
            </w:r>
          </w:p>
        </w:tc>
        <w:tc>
          <w:tcPr>
            <w:tcW w:w="2452" w:type="dxa"/>
          </w:tcPr>
          <w:p w14:paraId="1A3135C2" w14:textId="724FA5D1" w:rsidR="00424DCD" w:rsidRPr="00747703" w:rsidRDefault="00856C4E" w:rsidP="00424DCD">
            <w:pPr>
              <w:pStyle w:val="NoSpacing"/>
              <w:jc w:val="center"/>
              <w:rPr>
                <w:rFonts w:ascii="Arial" w:eastAsia="Times New Roman" w:hAnsi="Arial" w:cs="Arial"/>
                <w:b/>
                <w:bCs/>
                <w:color w:val="0B0C0C"/>
                <w:sz w:val="16"/>
                <w:szCs w:val="16"/>
                <w:lang w:eastAsia="en-GB"/>
              </w:rPr>
            </w:pPr>
            <w:r w:rsidRPr="00747703">
              <w:rPr>
                <w:rFonts w:ascii="Arial" w:eastAsia="Times New Roman" w:hAnsi="Arial" w:cs="Arial"/>
                <w:color w:val="0B0C0C"/>
                <w:sz w:val="16"/>
                <w:szCs w:val="16"/>
                <w:lang w:eastAsia="en-GB"/>
              </w:rPr>
              <w:t>75</w:t>
            </w:r>
            <w:r w:rsidR="00424DCD" w:rsidRPr="00747703">
              <w:rPr>
                <w:rFonts w:ascii="Arial" w:eastAsia="Times New Roman" w:hAnsi="Arial" w:cs="Arial"/>
                <w:color w:val="0B0C0C"/>
                <w:sz w:val="16"/>
                <w:szCs w:val="16"/>
                <w:lang w:eastAsia="en-GB"/>
              </w:rPr>
              <w:t>%</w:t>
            </w:r>
          </w:p>
        </w:tc>
        <w:tc>
          <w:tcPr>
            <w:tcW w:w="2452" w:type="dxa"/>
          </w:tcPr>
          <w:p w14:paraId="6CE81F87" w14:textId="6B7B898A" w:rsidR="00424DCD" w:rsidRPr="0030629A" w:rsidRDefault="00424DCD" w:rsidP="00424DCD">
            <w:pPr>
              <w:pStyle w:val="NoSpacing"/>
              <w:jc w:val="center"/>
              <w:rPr>
                <w:rFonts w:ascii="Arial" w:eastAsia="Times New Roman" w:hAnsi="Arial" w:cs="Arial"/>
                <w:b/>
                <w:bCs/>
                <w:sz w:val="16"/>
                <w:szCs w:val="16"/>
                <w:lang w:eastAsia="en-GB"/>
              </w:rPr>
            </w:pPr>
            <w:r w:rsidRPr="0030629A">
              <w:rPr>
                <w:rFonts w:ascii="Arial" w:eastAsia="Times New Roman" w:hAnsi="Arial" w:cs="Arial"/>
                <w:sz w:val="16"/>
                <w:szCs w:val="16"/>
                <w:lang w:eastAsia="en-GB"/>
              </w:rPr>
              <w:t>100% (not exceeding £1,</w:t>
            </w:r>
            <w:r w:rsidR="00856C4E" w:rsidRPr="0030629A">
              <w:rPr>
                <w:rFonts w:ascii="Arial" w:eastAsia="Times New Roman" w:hAnsi="Arial" w:cs="Arial"/>
                <w:sz w:val="16"/>
                <w:szCs w:val="16"/>
                <w:lang w:eastAsia="en-GB"/>
              </w:rPr>
              <w:t>0</w:t>
            </w:r>
            <w:r w:rsidRPr="0030629A">
              <w:rPr>
                <w:rFonts w:ascii="Arial" w:eastAsia="Times New Roman" w:hAnsi="Arial" w:cs="Arial"/>
                <w:sz w:val="16"/>
                <w:szCs w:val="16"/>
                <w:lang w:eastAsia="en-GB"/>
              </w:rPr>
              <w:t>00.00)</w:t>
            </w:r>
          </w:p>
        </w:tc>
      </w:tr>
    </w:tbl>
    <w:p w14:paraId="0CA8EC75" w14:textId="668AD9ED" w:rsidR="00886BD6" w:rsidRDefault="00886BD6" w:rsidP="00C80F28">
      <w:pPr>
        <w:pStyle w:val="NoSpacing"/>
        <w:rPr>
          <w:rFonts w:ascii="Arial" w:eastAsia="Times New Roman" w:hAnsi="Arial" w:cs="Arial"/>
          <w:b/>
          <w:bCs/>
          <w:color w:val="0B0C0C"/>
          <w:lang w:eastAsia="en-GB"/>
        </w:rPr>
      </w:pPr>
    </w:p>
    <w:p w14:paraId="77D745D1" w14:textId="77777777" w:rsidR="00886BD6" w:rsidRPr="00C80F28" w:rsidRDefault="00886BD6" w:rsidP="00C80F28">
      <w:pPr>
        <w:pStyle w:val="NoSpacing"/>
        <w:rPr>
          <w:rFonts w:ascii="Arial" w:eastAsia="Times New Roman" w:hAnsi="Arial" w:cs="Arial"/>
          <w:b/>
          <w:bCs/>
          <w:color w:val="0B0C0C"/>
          <w:lang w:eastAsia="en-GB"/>
        </w:rPr>
      </w:pPr>
    </w:p>
    <w:p w14:paraId="7B94A2C9" w14:textId="77777777" w:rsidR="00C83203" w:rsidRDefault="00C83203">
      <w:pPr>
        <w:rPr>
          <w:rFonts w:ascii="Arial" w:eastAsia="Times New Roman" w:hAnsi="Arial" w:cs="Arial"/>
          <w:b/>
          <w:bCs/>
          <w:color w:val="0B0C0C"/>
          <w:lang w:eastAsia="en-GB"/>
        </w:rPr>
      </w:pPr>
      <w:r>
        <w:rPr>
          <w:rFonts w:ascii="Arial" w:eastAsia="Times New Roman" w:hAnsi="Arial" w:cs="Arial"/>
          <w:b/>
          <w:bCs/>
          <w:color w:val="0B0C0C"/>
          <w:lang w:eastAsia="en-GB"/>
        </w:rPr>
        <w:br w:type="page"/>
      </w:r>
    </w:p>
    <w:p w14:paraId="77AEECB6" w14:textId="2412AD72" w:rsidR="00393060" w:rsidRPr="00414079" w:rsidRDefault="00393060" w:rsidP="00C80F28">
      <w:pPr>
        <w:pStyle w:val="NoSpacing"/>
        <w:rPr>
          <w:rFonts w:ascii="Arial" w:eastAsia="Times New Roman" w:hAnsi="Arial" w:cs="Arial"/>
          <w:b/>
          <w:bCs/>
          <w:color w:val="0B0C0C"/>
          <w:lang w:eastAsia="en-GB"/>
        </w:rPr>
      </w:pPr>
      <w:r w:rsidRPr="00414079">
        <w:rPr>
          <w:rFonts w:ascii="Arial" w:eastAsia="Times New Roman" w:hAnsi="Arial" w:cs="Arial"/>
          <w:b/>
          <w:bCs/>
          <w:color w:val="0B0C0C"/>
          <w:lang w:eastAsia="en-GB"/>
        </w:rPr>
        <w:lastRenderedPageBreak/>
        <w:t xml:space="preserve">LSF ALLOCATION GRID FOR 19+ LEARNERS </w:t>
      </w:r>
    </w:p>
    <w:p w14:paraId="20BDD77A" w14:textId="77777777" w:rsidR="00393060" w:rsidRDefault="00393060" w:rsidP="00393060">
      <w:pPr>
        <w:pStyle w:val="NoSpacing"/>
        <w:rPr>
          <w:rFonts w:ascii="Arial" w:hAnsi="Arial" w:cs="Arial"/>
        </w:rPr>
      </w:pPr>
      <w:r w:rsidRPr="00393060">
        <w:rPr>
          <w:rFonts w:ascii="Arial" w:hAnsi="Arial" w:cs="Arial"/>
        </w:rPr>
        <w:t>The percentage allocations may change subject to available funds.</w:t>
      </w:r>
    </w:p>
    <w:p w14:paraId="2E002003" w14:textId="77777777" w:rsidR="00393060" w:rsidRPr="00393060" w:rsidRDefault="00393060" w:rsidP="00393060">
      <w:pPr>
        <w:pStyle w:val="NoSpacing"/>
        <w:rPr>
          <w:rFonts w:ascii="Arial" w:hAnsi="Arial" w:cs="Arial"/>
        </w:rPr>
      </w:pPr>
    </w:p>
    <w:tbl>
      <w:tblPr>
        <w:tblStyle w:val="TableGrid"/>
        <w:tblW w:w="9745" w:type="dxa"/>
        <w:tblInd w:w="-5" w:type="dxa"/>
        <w:tblLook w:val="04A0" w:firstRow="1" w:lastRow="0" w:firstColumn="1" w:lastColumn="0" w:noHBand="0" w:noVBand="1"/>
      </w:tblPr>
      <w:tblGrid>
        <w:gridCol w:w="2410"/>
        <w:gridCol w:w="3260"/>
        <w:gridCol w:w="4075"/>
      </w:tblGrid>
      <w:tr w:rsidR="00393060" w:rsidRPr="00747703" w14:paraId="3DCB9686" w14:textId="77777777" w:rsidTr="00747703">
        <w:trPr>
          <w:trHeight w:val="125"/>
        </w:trPr>
        <w:tc>
          <w:tcPr>
            <w:tcW w:w="2410" w:type="dxa"/>
            <w:vMerge w:val="restart"/>
            <w:shd w:val="clear" w:color="auto" w:fill="44546A" w:themeFill="text2"/>
          </w:tcPr>
          <w:p w14:paraId="55D8F1E0" w14:textId="74CE927A" w:rsidR="00393060" w:rsidRPr="00747703" w:rsidRDefault="00393060" w:rsidP="00393060">
            <w:pPr>
              <w:pStyle w:val="NoSpacing"/>
              <w:rPr>
                <w:rFonts w:ascii="Arial" w:hAnsi="Arial" w:cs="Arial"/>
                <w:b/>
                <w:color w:val="FFFFFF" w:themeColor="background1"/>
                <w:sz w:val="16"/>
                <w:szCs w:val="16"/>
              </w:rPr>
            </w:pPr>
            <w:r w:rsidRPr="00747703">
              <w:rPr>
                <w:rFonts w:ascii="Arial" w:hAnsi="Arial" w:cs="Arial"/>
                <w:b/>
                <w:color w:val="FFFFFF" w:themeColor="background1"/>
                <w:sz w:val="16"/>
                <w:szCs w:val="16"/>
              </w:rPr>
              <w:t>ESOL Course</w:t>
            </w:r>
            <w:r w:rsidR="00856C4E" w:rsidRPr="00747703">
              <w:rPr>
                <w:rFonts w:ascii="Arial" w:hAnsi="Arial" w:cs="Arial"/>
                <w:b/>
                <w:color w:val="FFFFFF" w:themeColor="background1"/>
                <w:sz w:val="16"/>
                <w:szCs w:val="16"/>
              </w:rPr>
              <w:t xml:space="preserve"> Fees</w:t>
            </w:r>
          </w:p>
        </w:tc>
        <w:tc>
          <w:tcPr>
            <w:tcW w:w="7335" w:type="dxa"/>
            <w:gridSpan w:val="2"/>
            <w:shd w:val="clear" w:color="auto" w:fill="44546A" w:themeFill="text2"/>
          </w:tcPr>
          <w:p w14:paraId="7EC3EF98" w14:textId="77777777" w:rsidR="00393060" w:rsidRPr="00747703" w:rsidRDefault="00393060" w:rsidP="00393060">
            <w:pPr>
              <w:pStyle w:val="NoSpacing"/>
              <w:jc w:val="center"/>
              <w:rPr>
                <w:rFonts w:ascii="Arial" w:hAnsi="Arial" w:cs="Arial"/>
                <w:b/>
                <w:color w:val="FFFFFF" w:themeColor="background1"/>
                <w:sz w:val="16"/>
                <w:szCs w:val="16"/>
              </w:rPr>
            </w:pPr>
            <w:r w:rsidRPr="00747703">
              <w:rPr>
                <w:rFonts w:ascii="Arial" w:hAnsi="Arial" w:cs="Arial"/>
                <w:b/>
                <w:color w:val="FFFFFF" w:themeColor="background1"/>
                <w:sz w:val="16"/>
                <w:szCs w:val="16"/>
              </w:rPr>
              <w:t>Income Band</w:t>
            </w:r>
          </w:p>
        </w:tc>
      </w:tr>
      <w:tr w:rsidR="00393060" w:rsidRPr="00747703" w14:paraId="4CCF65E2" w14:textId="77777777" w:rsidTr="00747703">
        <w:trPr>
          <w:trHeight w:val="101"/>
        </w:trPr>
        <w:tc>
          <w:tcPr>
            <w:tcW w:w="2410" w:type="dxa"/>
            <w:vMerge/>
            <w:shd w:val="clear" w:color="auto" w:fill="F2F2F2" w:themeFill="background1" w:themeFillShade="F2"/>
          </w:tcPr>
          <w:p w14:paraId="465A79B5" w14:textId="77777777" w:rsidR="00393060" w:rsidRPr="00747703" w:rsidRDefault="00393060" w:rsidP="00393060">
            <w:pPr>
              <w:pStyle w:val="NoSpacing"/>
              <w:rPr>
                <w:rFonts w:ascii="Arial" w:hAnsi="Arial" w:cs="Arial"/>
                <w:b/>
                <w:sz w:val="16"/>
                <w:szCs w:val="16"/>
              </w:rPr>
            </w:pPr>
          </w:p>
        </w:tc>
        <w:tc>
          <w:tcPr>
            <w:tcW w:w="3260" w:type="dxa"/>
            <w:shd w:val="clear" w:color="auto" w:fill="44546A" w:themeFill="text2"/>
          </w:tcPr>
          <w:p w14:paraId="17FBE53B" w14:textId="77777777" w:rsidR="00393060" w:rsidRPr="00022F0B" w:rsidRDefault="00393060" w:rsidP="00393060">
            <w:pPr>
              <w:pStyle w:val="NoSpacing"/>
              <w:jc w:val="center"/>
              <w:rPr>
                <w:rFonts w:ascii="Arial" w:hAnsi="Arial" w:cs="Arial"/>
                <w:b/>
                <w:color w:val="FFFF00"/>
                <w:sz w:val="16"/>
                <w:szCs w:val="16"/>
              </w:rPr>
            </w:pPr>
            <w:r w:rsidRPr="00022F0B">
              <w:rPr>
                <w:rFonts w:ascii="Arial" w:hAnsi="Arial" w:cs="Arial"/>
                <w:b/>
                <w:color w:val="FFFF00"/>
                <w:sz w:val="16"/>
                <w:szCs w:val="16"/>
              </w:rPr>
              <w:t>Less than £16,500</w:t>
            </w:r>
          </w:p>
        </w:tc>
        <w:tc>
          <w:tcPr>
            <w:tcW w:w="4075" w:type="dxa"/>
            <w:shd w:val="clear" w:color="auto" w:fill="44546A" w:themeFill="text2"/>
          </w:tcPr>
          <w:p w14:paraId="3595BF0F" w14:textId="786587B3" w:rsidR="00393060" w:rsidRPr="00022F0B" w:rsidRDefault="00393060" w:rsidP="00393060">
            <w:pPr>
              <w:pStyle w:val="NoSpacing"/>
              <w:jc w:val="center"/>
              <w:rPr>
                <w:rFonts w:ascii="Arial" w:hAnsi="Arial" w:cs="Arial"/>
                <w:b/>
                <w:color w:val="FFFF00"/>
                <w:sz w:val="16"/>
                <w:szCs w:val="16"/>
              </w:rPr>
            </w:pPr>
            <w:r w:rsidRPr="00022F0B">
              <w:rPr>
                <w:rFonts w:ascii="Arial" w:hAnsi="Arial" w:cs="Arial"/>
                <w:b/>
                <w:color w:val="FFFF00"/>
                <w:sz w:val="16"/>
                <w:szCs w:val="16"/>
              </w:rPr>
              <w:t>Less than £</w:t>
            </w:r>
            <w:r w:rsidR="00AD3791">
              <w:rPr>
                <w:rFonts w:ascii="Arial" w:hAnsi="Arial" w:cs="Arial"/>
                <w:b/>
                <w:color w:val="FFFF00"/>
                <w:sz w:val="16"/>
                <w:szCs w:val="16"/>
              </w:rPr>
              <w:t>27,00</w:t>
            </w:r>
            <w:r w:rsidR="00886BD6">
              <w:rPr>
                <w:rFonts w:ascii="Arial" w:hAnsi="Arial" w:cs="Arial"/>
                <w:b/>
                <w:color w:val="FFFF00"/>
                <w:sz w:val="16"/>
                <w:szCs w:val="16"/>
              </w:rPr>
              <w:t>0</w:t>
            </w:r>
          </w:p>
        </w:tc>
      </w:tr>
      <w:tr w:rsidR="00393060" w:rsidRPr="00747703" w14:paraId="311F01C9" w14:textId="77777777" w:rsidTr="00747703">
        <w:trPr>
          <w:trHeight w:val="295"/>
        </w:trPr>
        <w:tc>
          <w:tcPr>
            <w:tcW w:w="2410" w:type="dxa"/>
          </w:tcPr>
          <w:p w14:paraId="4B847B39" w14:textId="77777777" w:rsidR="00393060" w:rsidRPr="00747703" w:rsidRDefault="00393060" w:rsidP="00393060">
            <w:pPr>
              <w:pStyle w:val="NoSpacing"/>
              <w:rPr>
                <w:rFonts w:ascii="Arial" w:hAnsi="Arial" w:cs="Arial"/>
                <w:sz w:val="16"/>
                <w:szCs w:val="16"/>
              </w:rPr>
            </w:pPr>
            <w:r w:rsidRPr="00747703">
              <w:rPr>
                <w:rFonts w:ascii="Arial" w:hAnsi="Arial" w:cs="Arial"/>
                <w:sz w:val="16"/>
                <w:szCs w:val="16"/>
              </w:rPr>
              <w:t>Up to Level 1</w:t>
            </w:r>
          </w:p>
        </w:tc>
        <w:tc>
          <w:tcPr>
            <w:tcW w:w="3260" w:type="dxa"/>
          </w:tcPr>
          <w:p w14:paraId="347817AB" w14:textId="77777777" w:rsidR="00393060" w:rsidRPr="00747703" w:rsidRDefault="00393060" w:rsidP="00393060">
            <w:pPr>
              <w:pStyle w:val="NoSpacing"/>
              <w:jc w:val="center"/>
              <w:rPr>
                <w:rFonts w:ascii="Arial" w:hAnsi="Arial" w:cs="Arial"/>
                <w:sz w:val="16"/>
                <w:szCs w:val="16"/>
              </w:rPr>
            </w:pPr>
            <w:r w:rsidRPr="00747703">
              <w:rPr>
                <w:rFonts w:ascii="Arial" w:hAnsi="Arial" w:cs="Arial"/>
                <w:sz w:val="16"/>
                <w:szCs w:val="16"/>
              </w:rPr>
              <w:t>-</w:t>
            </w:r>
          </w:p>
        </w:tc>
        <w:tc>
          <w:tcPr>
            <w:tcW w:w="4075" w:type="dxa"/>
          </w:tcPr>
          <w:p w14:paraId="7E30CC6A" w14:textId="77777777" w:rsidR="00393060" w:rsidRPr="00747703" w:rsidRDefault="00393060" w:rsidP="00393060">
            <w:pPr>
              <w:pStyle w:val="NoSpacing"/>
              <w:jc w:val="center"/>
              <w:rPr>
                <w:rFonts w:ascii="Arial" w:hAnsi="Arial" w:cs="Arial"/>
                <w:sz w:val="16"/>
                <w:szCs w:val="16"/>
              </w:rPr>
            </w:pPr>
            <w:r w:rsidRPr="00747703">
              <w:rPr>
                <w:rFonts w:ascii="Arial" w:hAnsi="Arial" w:cs="Arial"/>
                <w:sz w:val="16"/>
                <w:szCs w:val="16"/>
              </w:rPr>
              <w:t>100%</w:t>
            </w:r>
          </w:p>
        </w:tc>
      </w:tr>
      <w:tr w:rsidR="00393060" w:rsidRPr="00747703" w14:paraId="049FF96B" w14:textId="77777777" w:rsidTr="00747703">
        <w:trPr>
          <w:trHeight w:val="278"/>
        </w:trPr>
        <w:tc>
          <w:tcPr>
            <w:tcW w:w="2410" w:type="dxa"/>
          </w:tcPr>
          <w:p w14:paraId="0D94387D" w14:textId="77777777" w:rsidR="00393060" w:rsidRPr="00747703" w:rsidRDefault="00393060" w:rsidP="00393060">
            <w:pPr>
              <w:pStyle w:val="NoSpacing"/>
              <w:rPr>
                <w:rFonts w:ascii="Arial" w:hAnsi="Arial" w:cs="Arial"/>
                <w:sz w:val="16"/>
                <w:szCs w:val="16"/>
              </w:rPr>
            </w:pPr>
            <w:r w:rsidRPr="00747703">
              <w:rPr>
                <w:rFonts w:ascii="Arial" w:hAnsi="Arial" w:cs="Arial"/>
                <w:sz w:val="16"/>
                <w:szCs w:val="16"/>
              </w:rPr>
              <w:t>Level 2</w:t>
            </w:r>
          </w:p>
        </w:tc>
        <w:tc>
          <w:tcPr>
            <w:tcW w:w="3260" w:type="dxa"/>
          </w:tcPr>
          <w:p w14:paraId="0A47DD4B" w14:textId="77777777" w:rsidR="00393060" w:rsidRPr="00747703" w:rsidRDefault="00393060" w:rsidP="00393060">
            <w:pPr>
              <w:pStyle w:val="NoSpacing"/>
              <w:jc w:val="center"/>
              <w:rPr>
                <w:rFonts w:ascii="Arial" w:hAnsi="Arial" w:cs="Arial"/>
                <w:sz w:val="16"/>
                <w:szCs w:val="16"/>
              </w:rPr>
            </w:pPr>
            <w:r w:rsidRPr="00747703">
              <w:rPr>
                <w:rFonts w:ascii="Arial" w:hAnsi="Arial" w:cs="Arial"/>
                <w:sz w:val="16"/>
                <w:szCs w:val="16"/>
              </w:rPr>
              <w:t>100%</w:t>
            </w:r>
          </w:p>
        </w:tc>
        <w:tc>
          <w:tcPr>
            <w:tcW w:w="4075" w:type="dxa"/>
          </w:tcPr>
          <w:p w14:paraId="02013D79" w14:textId="77777777" w:rsidR="00393060" w:rsidRPr="00747703" w:rsidRDefault="00393060" w:rsidP="00393060">
            <w:pPr>
              <w:pStyle w:val="NoSpacing"/>
              <w:jc w:val="center"/>
              <w:rPr>
                <w:rFonts w:ascii="Arial" w:hAnsi="Arial" w:cs="Arial"/>
                <w:sz w:val="16"/>
                <w:szCs w:val="16"/>
              </w:rPr>
            </w:pPr>
            <w:r w:rsidRPr="00747703">
              <w:rPr>
                <w:rFonts w:ascii="Arial" w:hAnsi="Arial" w:cs="Arial"/>
                <w:sz w:val="16"/>
                <w:szCs w:val="16"/>
              </w:rPr>
              <w:t>50%</w:t>
            </w:r>
          </w:p>
        </w:tc>
      </w:tr>
    </w:tbl>
    <w:tbl>
      <w:tblPr>
        <w:tblStyle w:val="TableGrid"/>
        <w:tblpPr w:leftFromText="180" w:rightFromText="180" w:vertAnchor="text" w:horzAnchor="margin" w:tblpY="118"/>
        <w:tblW w:w="9749" w:type="dxa"/>
        <w:tblLook w:val="04A0" w:firstRow="1" w:lastRow="0" w:firstColumn="1" w:lastColumn="0" w:noHBand="0" w:noVBand="1"/>
      </w:tblPr>
      <w:tblGrid>
        <w:gridCol w:w="2405"/>
        <w:gridCol w:w="3260"/>
        <w:gridCol w:w="4084"/>
      </w:tblGrid>
      <w:tr w:rsidR="00393060" w:rsidRPr="00414079" w14:paraId="284181CE" w14:textId="77777777" w:rsidTr="00414079">
        <w:trPr>
          <w:trHeight w:val="132"/>
        </w:trPr>
        <w:tc>
          <w:tcPr>
            <w:tcW w:w="2405" w:type="dxa"/>
            <w:vMerge w:val="restart"/>
            <w:shd w:val="clear" w:color="auto" w:fill="44546A" w:themeFill="text2"/>
          </w:tcPr>
          <w:p w14:paraId="39AEA559" w14:textId="56C541B3" w:rsidR="00393060" w:rsidRPr="00414079" w:rsidRDefault="00393060" w:rsidP="00393060">
            <w:pPr>
              <w:pStyle w:val="NoSpacing"/>
              <w:rPr>
                <w:rFonts w:ascii="Arial" w:hAnsi="Arial" w:cs="Arial"/>
                <w:b/>
                <w:color w:val="FFFFFF" w:themeColor="background1"/>
                <w:sz w:val="16"/>
                <w:szCs w:val="16"/>
              </w:rPr>
            </w:pPr>
            <w:r w:rsidRPr="00414079">
              <w:rPr>
                <w:rFonts w:ascii="Arial" w:hAnsi="Arial" w:cs="Arial"/>
                <w:b/>
                <w:color w:val="FFFFFF" w:themeColor="background1"/>
                <w:sz w:val="16"/>
                <w:szCs w:val="16"/>
              </w:rPr>
              <w:t xml:space="preserve">All </w:t>
            </w:r>
            <w:r w:rsidR="00747703" w:rsidRPr="00414079">
              <w:rPr>
                <w:rFonts w:ascii="Arial" w:hAnsi="Arial" w:cs="Arial"/>
                <w:b/>
                <w:color w:val="FFFFFF" w:themeColor="background1"/>
                <w:sz w:val="16"/>
                <w:szCs w:val="16"/>
              </w:rPr>
              <w:t>other courses</w:t>
            </w:r>
            <w:r w:rsidR="0041317D" w:rsidRPr="00414079">
              <w:rPr>
                <w:rFonts w:ascii="Arial" w:hAnsi="Arial" w:cs="Arial"/>
                <w:b/>
                <w:color w:val="FFFFFF" w:themeColor="background1"/>
                <w:sz w:val="16"/>
                <w:szCs w:val="16"/>
              </w:rPr>
              <w:t xml:space="preserve"> </w:t>
            </w:r>
            <w:r w:rsidR="00747703" w:rsidRPr="00414079">
              <w:rPr>
                <w:rFonts w:ascii="Arial" w:hAnsi="Arial" w:cs="Arial"/>
                <w:b/>
                <w:color w:val="FFFFFF" w:themeColor="background1"/>
                <w:sz w:val="16"/>
                <w:szCs w:val="16"/>
              </w:rPr>
              <w:t>f</w:t>
            </w:r>
            <w:r w:rsidR="0041317D" w:rsidRPr="00414079">
              <w:rPr>
                <w:rFonts w:ascii="Arial" w:hAnsi="Arial" w:cs="Arial"/>
                <w:b/>
                <w:color w:val="FFFFFF" w:themeColor="background1"/>
                <w:sz w:val="16"/>
                <w:szCs w:val="16"/>
              </w:rPr>
              <w:t>ees</w:t>
            </w:r>
          </w:p>
        </w:tc>
        <w:tc>
          <w:tcPr>
            <w:tcW w:w="7344" w:type="dxa"/>
            <w:gridSpan w:val="2"/>
            <w:shd w:val="clear" w:color="auto" w:fill="44546A" w:themeFill="text2"/>
          </w:tcPr>
          <w:p w14:paraId="7C0A0A7E" w14:textId="77777777" w:rsidR="00393060" w:rsidRPr="00414079" w:rsidRDefault="00393060" w:rsidP="00393060">
            <w:pPr>
              <w:pStyle w:val="NoSpacing"/>
              <w:jc w:val="center"/>
              <w:rPr>
                <w:rFonts w:ascii="Arial" w:hAnsi="Arial" w:cs="Arial"/>
                <w:b/>
                <w:color w:val="FFFFFF" w:themeColor="background1"/>
                <w:sz w:val="16"/>
                <w:szCs w:val="16"/>
              </w:rPr>
            </w:pPr>
            <w:r w:rsidRPr="00414079">
              <w:rPr>
                <w:rFonts w:ascii="Arial" w:hAnsi="Arial" w:cs="Arial"/>
                <w:b/>
                <w:color w:val="FFFFFF" w:themeColor="background1"/>
                <w:sz w:val="16"/>
                <w:szCs w:val="16"/>
              </w:rPr>
              <w:t>Income Band</w:t>
            </w:r>
          </w:p>
        </w:tc>
      </w:tr>
      <w:tr w:rsidR="00393060" w:rsidRPr="00414079" w14:paraId="0C909E40" w14:textId="77777777" w:rsidTr="00414079">
        <w:trPr>
          <w:trHeight w:val="84"/>
        </w:trPr>
        <w:tc>
          <w:tcPr>
            <w:tcW w:w="2405" w:type="dxa"/>
            <w:vMerge/>
            <w:shd w:val="clear" w:color="auto" w:fill="F2F2F2" w:themeFill="background1" w:themeFillShade="F2"/>
          </w:tcPr>
          <w:p w14:paraId="741D8364" w14:textId="77777777" w:rsidR="00393060" w:rsidRPr="00414079" w:rsidRDefault="00393060" w:rsidP="00393060">
            <w:pPr>
              <w:pStyle w:val="NoSpacing"/>
              <w:rPr>
                <w:rFonts w:ascii="Arial" w:hAnsi="Arial" w:cs="Arial"/>
                <w:b/>
                <w:sz w:val="16"/>
                <w:szCs w:val="16"/>
              </w:rPr>
            </w:pPr>
          </w:p>
        </w:tc>
        <w:tc>
          <w:tcPr>
            <w:tcW w:w="3260" w:type="dxa"/>
            <w:shd w:val="clear" w:color="auto" w:fill="44546A" w:themeFill="text2"/>
          </w:tcPr>
          <w:p w14:paraId="2B467F14" w14:textId="6A13C919" w:rsidR="00393060" w:rsidRPr="00022F0B" w:rsidRDefault="00393060" w:rsidP="00393060">
            <w:pPr>
              <w:pStyle w:val="NoSpacing"/>
              <w:jc w:val="center"/>
              <w:rPr>
                <w:rFonts w:ascii="Arial" w:hAnsi="Arial" w:cs="Arial"/>
                <w:b/>
                <w:color w:val="FFFF00"/>
                <w:sz w:val="16"/>
                <w:szCs w:val="16"/>
              </w:rPr>
            </w:pPr>
            <w:r w:rsidRPr="00022F0B">
              <w:rPr>
                <w:rFonts w:ascii="Arial" w:hAnsi="Arial" w:cs="Arial"/>
                <w:b/>
                <w:color w:val="FFFF00"/>
                <w:sz w:val="16"/>
                <w:szCs w:val="16"/>
              </w:rPr>
              <w:t>Less than £2</w:t>
            </w:r>
            <w:r w:rsidR="00886BD6">
              <w:rPr>
                <w:rFonts w:ascii="Arial" w:hAnsi="Arial" w:cs="Arial"/>
                <w:b/>
                <w:color w:val="FFFF00"/>
                <w:sz w:val="16"/>
                <w:szCs w:val="16"/>
              </w:rPr>
              <w:t>7</w:t>
            </w:r>
            <w:r w:rsidRPr="00022F0B">
              <w:rPr>
                <w:rFonts w:ascii="Arial" w:hAnsi="Arial" w:cs="Arial"/>
                <w:b/>
                <w:color w:val="FFFF00"/>
                <w:sz w:val="16"/>
                <w:szCs w:val="16"/>
              </w:rPr>
              <w:t>,000</w:t>
            </w:r>
          </w:p>
        </w:tc>
        <w:tc>
          <w:tcPr>
            <w:tcW w:w="4084" w:type="dxa"/>
            <w:shd w:val="clear" w:color="auto" w:fill="44546A" w:themeFill="text2"/>
          </w:tcPr>
          <w:p w14:paraId="4A85DD89" w14:textId="77777777" w:rsidR="00393060" w:rsidRPr="00022F0B" w:rsidRDefault="00393060" w:rsidP="00393060">
            <w:pPr>
              <w:pStyle w:val="NoSpacing"/>
              <w:jc w:val="center"/>
              <w:rPr>
                <w:rFonts w:ascii="Arial" w:hAnsi="Arial" w:cs="Arial"/>
                <w:b/>
                <w:color w:val="FFFF00"/>
                <w:sz w:val="16"/>
                <w:szCs w:val="16"/>
              </w:rPr>
            </w:pPr>
            <w:r w:rsidRPr="00022F0B">
              <w:rPr>
                <w:rFonts w:ascii="Arial" w:hAnsi="Arial" w:cs="Arial"/>
                <w:b/>
                <w:color w:val="FFFF00"/>
                <w:sz w:val="16"/>
                <w:szCs w:val="16"/>
              </w:rPr>
              <w:t>Exceptional</w:t>
            </w:r>
          </w:p>
        </w:tc>
      </w:tr>
      <w:tr w:rsidR="00393060" w:rsidRPr="00414079" w14:paraId="12E98C2D" w14:textId="77777777" w:rsidTr="00414079">
        <w:trPr>
          <w:trHeight w:val="56"/>
        </w:trPr>
        <w:tc>
          <w:tcPr>
            <w:tcW w:w="2405" w:type="dxa"/>
          </w:tcPr>
          <w:p w14:paraId="2313A9AF" w14:textId="77777777" w:rsidR="00393060" w:rsidRPr="00414079" w:rsidRDefault="00393060" w:rsidP="00393060">
            <w:pPr>
              <w:pStyle w:val="NoSpacing"/>
              <w:rPr>
                <w:rFonts w:ascii="Arial" w:hAnsi="Arial" w:cs="Arial"/>
                <w:sz w:val="16"/>
                <w:szCs w:val="16"/>
              </w:rPr>
            </w:pPr>
            <w:r w:rsidRPr="00414079">
              <w:rPr>
                <w:rFonts w:ascii="Arial" w:hAnsi="Arial" w:cs="Arial"/>
                <w:sz w:val="16"/>
                <w:szCs w:val="16"/>
              </w:rPr>
              <w:t>Up to Level 3</w:t>
            </w:r>
          </w:p>
        </w:tc>
        <w:tc>
          <w:tcPr>
            <w:tcW w:w="3260" w:type="dxa"/>
          </w:tcPr>
          <w:p w14:paraId="44616D66" w14:textId="73A20A14" w:rsidR="00393060" w:rsidRPr="00414079" w:rsidRDefault="009A6D68" w:rsidP="00393060">
            <w:pPr>
              <w:pStyle w:val="NoSpacing"/>
              <w:jc w:val="center"/>
              <w:rPr>
                <w:rFonts w:ascii="Arial" w:hAnsi="Arial" w:cs="Arial"/>
                <w:sz w:val="16"/>
                <w:szCs w:val="16"/>
              </w:rPr>
            </w:pPr>
            <w:r w:rsidRPr="00414079">
              <w:rPr>
                <w:rFonts w:ascii="Arial" w:hAnsi="Arial" w:cs="Arial"/>
                <w:sz w:val="16"/>
                <w:szCs w:val="16"/>
              </w:rPr>
              <w:t>60</w:t>
            </w:r>
            <w:r w:rsidR="00393060" w:rsidRPr="00414079">
              <w:rPr>
                <w:rFonts w:ascii="Arial" w:hAnsi="Arial" w:cs="Arial"/>
                <w:sz w:val="16"/>
                <w:szCs w:val="16"/>
              </w:rPr>
              <w:t>%</w:t>
            </w:r>
          </w:p>
        </w:tc>
        <w:tc>
          <w:tcPr>
            <w:tcW w:w="4084" w:type="dxa"/>
          </w:tcPr>
          <w:p w14:paraId="68AEBF30" w14:textId="77777777" w:rsidR="00393060" w:rsidRPr="00414079" w:rsidRDefault="00393060" w:rsidP="00393060">
            <w:pPr>
              <w:pStyle w:val="NoSpacing"/>
              <w:jc w:val="center"/>
              <w:rPr>
                <w:rFonts w:ascii="Arial" w:hAnsi="Arial" w:cs="Arial"/>
                <w:sz w:val="16"/>
                <w:szCs w:val="16"/>
              </w:rPr>
            </w:pPr>
            <w:r w:rsidRPr="00414079">
              <w:rPr>
                <w:rFonts w:ascii="Arial" w:hAnsi="Arial" w:cs="Arial"/>
                <w:sz w:val="16"/>
                <w:szCs w:val="16"/>
              </w:rPr>
              <w:t>Individual assessment</w:t>
            </w:r>
          </w:p>
        </w:tc>
      </w:tr>
    </w:tbl>
    <w:p w14:paraId="3999D8A2" w14:textId="3BC53991" w:rsidR="00AD3791" w:rsidRDefault="00AD3791" w:rsidP="00C83203">
      <w:pPr>
        <w:pStyle w:val="NoSpacing"/>
      </w:pPr>
    </w:p>
    <w:p w14:paraId="183E3F07" w14:textId="77777777" w:rsidR="00AD3791" w:rsidRPr="00393060" w:rsidRDefault="00AD3791" w:rsidP="00393060">
      <w:pPr>
        <w:pStyle w:val="NoSpacing"/>
        <w:jc w:val="center"/>
      </w:pPr>
    </w:p>
    <w:tbl>
      <w:tblPr>
        <w:tblStyle w:val="TableGrid"/>
        <w:tblW w:w="9722" w:type="dxa"/>
        <w:tblLook w:val="04A0" w:firstRow="1" w:lastRow="0" w:firstColumn="1" w:lastColumn="0" w:noHBand="0" w:noVBand="1"/>
      </w:tblPr>
      <w:tblGrid>
        <w:gridCol w:w="2350"/>
        <w:gridCol w:w="1696"/>
        <w:gridCol w:w="1587"/>
        <w:gridCol w:w="1415"/>
        <w:gridCol w:w="1337"/>
        <w:gridCol w:w="1337"/>
      </w:tblGrid>
      <w:tr w:rsidR="00144BE5" w:rsidRPr="00414079" w14:paraId="4C997A54" w14:textId="77777777" w:rsidTr="00144BE5">
        <w:trPr>
          <w:trHeight w:val="275"/>
        </w:trPr>
        <w:tc>
          <w:tcPr>
            <w:tcW w:w="2350" w:type="dxa"/>
            <w:shd w:val="clear" w:color="auto" w:fill="44546A" w:themeFill="text2"/>
          </w:tcPr>
          <w:p w14:paraId="0F3E97FF" w14:textId="77777777" w:rsidR="00144BE5" w:rsidRPr="00414079" w:rsidRDefault="00144BE5" w:rsidP="00393060">
            <w:pPr>
              <w:pStyle w:val="NoSpacing"/>
              <w:jc w:val="center"/>
              <w:rPr>
                <w:rFonts w:ascii="Arial" w:hAnsi="Arial" w:cs="Arial"/>
                <w:b/>
                <w:bCs/>
                <w:color w:val="FFFFFF" w:themeColor="background1"/>
                <w:sz w:val="16"/>
                <w:szCs w:val="16"/>
              </w:rPr>
            </w:pPr>
            <w:r w:rsidRPr="00414079">
              <w:rPr>
                <w:rFonts w:ascii="Arial" w:hAnsi="Arial" w:cs="Arial"/>
                <w:b/>
                <w:bCs/>
                <w:color w:val="FFFFFF" w:themeColor="background1"/>
                <w:sz w:val="16"/>
                <w:szCs w:val="16"/>
              </w:rPr>
              <w:t>Income Band</w:t>
            </w:r>
          </w:p>
        </w:tc>
        <w:tc>
          <w:tcPr>
            <w:tcW w:w="1696" w:type="dxa"/>
            <w:shd w:val="clear" w:color="auto" w:fill="44546A" w:themeFill="text2"/>
          </w:tcPr>
          <w:p w14:paraId="6F59DBE3" w14:textId="77777777" w:rsidR="00144BE5" w:rsidRPr="00414079" w:rsidRDefault="00144BE5" w:rsidP="00393060">
            <w:pPr>
              <w:pStyle w:val="NoSpacing"/>
              <w:jc w:val="center"/>
              <w:rPr>
                <w:rFonts w:ascii="Arial" w:hAnsi="Arial" w:cs="Arial"/>
                <w:b/>
                <w:bCs/>
                <w:color w:val="FFFFFF" w:themeColor="background1"/>
                <w:sz w:val="16"/>
                <w:szCs w:val="16"/>
              </w:rPr>
            </w:pPr>
            <w:r w:rsidRPr="00414079">
              <w:rPr>
                <w:rFonts w:ascii="Arial" w:hAnsi="Arial" w:cs="Arial"/>
                <w:b/>
                <w:bCs/>
                <w:color w:val="FFFFFF" w:themeColor="background1"/>
                <w:sz w:val="16"/>
                <w:szCs w:val="16"/>
              </w:rPr>
              <w:t>Travel</w:t>
            </w:r>
          </w:p>
        </w:tc>
        <w:tc>
          <w:tcPr>
            <w:tcW w:w="1587" w:type="dxa"/>
            <w:shd w:val="clear" w:color="auto" w:fill="44546A" w:themeFill="text2"/>
          </w:tcPr>
          <w:p w14:paraId="655593E4" w14:textId="77777777" w:rsidR="00144BE5" w:rsidRPr="00414079" w:rsidRDefault="00144BE5" w:rsidP="00393060">
            <w:pPr>
              <w:pStyle w:val="NoSpacing"/>
              <w:jc w:val="center"/>
              <w:rPr>
                <w:rFonts w:ascii="Arial" w:hAnsi="Arial" w:cs="Arial"/>
                <w:b/>
                <w:bCs/>
                <w:color w:val="FFFFFF" w:themeColor="background1"/>
                <w:sz w:val="16"/>
                <w:szCs w:val="16"/>
              </w:rPr>
            </w:pPr>
            <w:r w:rsidRPr="00414079">
              <w:rPr>
                <w:rFonts w:ascii="Arial" w:hAnsi="Arial" w:cs="Arial"/>
                <w:b/>
                <w:bCs/>
                <w:color w:val="FFFFFF" w:themeColor="background1"/>
                <w:sz w:val="16"/>
                <w:szCs w:val="16"/>
              </w:rPr>
              <w:t>Kit/Equipment</w:t>
            </w:r>
          </w:p>
        </w:tc>
        <w:tc>
          <w:tcPr>
            <w:tcW w:w="1415" w:type="dxa"/>
            <w:shd w:val="clear" w:color="auto" w:fill="44546A" w:themeFill="text2"/>
          </w:tcPr>
          <w:p w14:paraId="1F17788F" w14:textId="77777777" w:rsidR="00144BE5" w:rsidRPr="00414079" w:rsidRDefault="00144BE5" w:rsidP="00393060">
            <w:pPr>
              <w:pStyle w:val="NoSpacing"/>
              <w:jc w:val="center"/>
              <w:rPr>
                <w:rFonts w:ascii="Arial" w:hAnsi="Arial" w:cs="Arial"/>
                <w:b/>
                <w:bCs/>
                <w:color w:val="FFFFFF" w:themeColor="background1"/>
                <w:sz w:val="16"/>
                <w:szCs w:val="16"/>
              </w:rPr>
            </w:pPr>
            <w:r w:rsidRPr="00414079">
              <w:rPr>
                <w:rFonts w:ascii="Arial" w:hAnsi="Arial" w:cs="Arial"/>
                <w:b/>
                <w:bCs/>
                <w:color w:val="FFFFFF" w:themeColor="background1"/>
                <w:sz w:val="16"/>
                <w:szCs w:val="16"/>
              </w:rPr>
              <w:t>Trip</w:t>
            </w:r>
          </w:p>
        </w:tc>
        <w:tc>
          <w:tcPr>
            <w:tcW w:w="1337" w:type="dxa"/>
            <w:shd w:val="clear" w:color="auto" w:fill="44546A" w:themeFill="text2"/>
          </w:tcPr>
          <w:p w14:paraId="6F102979" w14:textId="20F6C73F" w:rsidR="00144BE5" w:rsidRPr="00414079" w:rsidRDefault="00144BE5" w:rsidP="00393060">
            <w:pPr>
              <w:pStyle w:val="NoSpacing"/>
              <w:jc w:val="center"/>
              <w:rPr>
                <w:rFonts w:ascii="Arial" w:hAnsi="Arial" w:cs="Arial"/>
                <w:b/>
                <w:bCs/>
                <w:color w:val="FFFFFF" w:themeColor="background1"/>
                <w:sz w:val="16"/>
                <w:szCs w:val="16"/>
              </w:rPr>
            </w:pPr>
            <w:r w:rsidRPr="00414079">
              <w:rPr>
                <w:rFonts w:ascii="Arial" w:hAnsi="Arial" w:cs="Arial"/>
                <w:b/>
                <w:bCs/>
                <w:color w:val="FFFFFF" w:themeColor="background1"/>
                <w:sz w:val="16"/>
                <w:szCs w:val="16"/>
              </w:rPr>
              <w:t>Childcare</w:t>
            </w:r>
          </w:p>
        </w:tc>
        <w:tc>
          <w:tcPr>
            <w:tcW w:w="1337" w:type="dxa"/>
            <w:shd w:val="clear" w:color="auto" w:fill="44546A" w:themeFill="text2"/>
          </w:tcPr>
          <w:p w14:paraId="6278BA8C" w14:textId="18EA4971" w:rsidR="00144BE5" w:rsidRPr="00414079" w:rsidRDefault="00144BE5" w:rsidP="00393060">
            <w:pPr>
              <w:pStyle w:val="NoSpacing"/>
              <w:jc w:val="center"/>
              <w:rPr>
                <w:rFonts w:ascii="Arial" w:hAnsi="Arial" w:cs="Arial"/>
                <w:b/>
                <w:bCs/>
                <w:color w:val="FFFFFF" w:themeColor="background1"/>
                <w:sz w:val="16"/>
                <w:szCs w:val="16"/>
              </w:rPr>
            </w:pPr>
            <w:r w:rsidRPr="00414079">
              <w:rPr>
                <w:rFonts w:ascii="Arial" w:hAnsi="Arial" w:cs="Arial"/>
                <w:b/>
                <w:bCs/>
                <w:color w:val="FFFFFF" w:themeColor="background1"/>
                <w:sz w:val="16"/>
                <w:szCs w:val="16"/>
              </w:rPr>
              <w:t>Other</w:t>
            </w:r>
          </w:p>
        </w:tc>
      </w:tr>
      <w:tr w:rsidR="00144BE5" w:rsidRPr="00414079" w14:paraId="23137D59" w14:textId="77777777" w:rsidTr="00414079">
        <w:trPr>
          <w:trHeight w:val="480"/>
        </w:trPr>
        <w:tc>
          <w:tcPr>
            <w:tcW w:w="2350" w:type="dxa"/>
          </w:tcPr>
          <w:p w14:paraId="36F6D0D1" w14:textId="77777777" w:rsidR="00144BE5" w:rsidRPr="00414079" w:rsidRDefault="00144BE5" w:rsidP="00393060">
            <w:pPr>
              <w:pStyle w:val="NoSpacing"/>
              <w:jc w:val="center"/>
              <w:rPr>
                <w:rFonts w:ascii="Arial" w:hAnsi="Arial" w:cs="Arial"/>
                <w:sz w:val="16"/>
                <w:szCs w:val="16"/>
              </w:rPr>
            </w:pPr>
            <w:r w:rsidRPr="00414079">
              <w:rPr>
                <w:rFonts w:ascii="Arial" w:hAnsi="Arial" w:cs="Arial"/>
                <w:sz w:val="16"/>
                <w:szCs w:val="16"/>
              </w:rPr>
              <w:t>In receipt of a means-tested benefit OR</w:t>
            </w:r>
          </w:p>
          <w:p w14:paraId="38F09A60" w14:textId="1416B3A7" w:rsidR="00144BE5" w:rsidRDefault="00144BE5" w:rsidP="00393060">
            <w:pPr>
              <w:pStyle w:val="NoSpacing"/>
              <w:jc w:val="center"/>
              <w:rPr>
                <w:rFonts w:ascii="Arial" w:hAnsi="Arial" w:cs="Arial"/>
                <w:sz w:val="16"/>
                <w:szCs w:val="16"/>
              </w:rPr>
            </w:pPr>
            <w:r w:rsidRPr="00414079">
              <w:rPr>
                <w:rFonts w:ascii="Arial" w:hAnsi="Arial" w:cs="Arial"/>
                <w:sz w:val="16"/>
                <w:szCs w:val="16"/>
              </w:rPr>
              <w:t>Income under £2</w:t>
            </w:r>
            <w:r w:rsidR="00886BD6">
              <w:rPr>
                <w:rFonts w:ascii="Arial" w:hAnsi="Arial" w:cs="Arial"/>
                <w:sz w:val="16"/>
                <w:szCs w:val="16"/>
              </w:rPr>
              <w:t>7</w:t>
            </w:r>
            <w:r w:rsidRPr="00414079">
              <w:rPr>
                <w:rFonts w:ascii="Arial" w:hAnsi="Arial" w:cs="Arial"/>
                <w:sz w:val="16"/>
                <w:szCs w:val="16"/>
              </w:rPr>
              <w:t>,000</w:t>
            </w:r>
          </w:p>
          <w:p w14:paraId="35B5B5C6" w14:textId="7630F3C0" w:rsidR="00AD3791" w:rsidRPr="00414079" w:rsidRDefault="00AD3791" w:rsidP="00393060">
            <w:pPr>
              <w:pStyle w:val="NoSpacing"/>
              <w:jc w:val="center"/>
              <w:rPr>
                <w:rFonts w:ascii="Arial" w:hAnsi="Arial" w:cs="Arial"/>
                <w:sz w:val="16"/>
                <w:szCs w:val="16"/>
              </w:rPr>
            </w:pPr>
            <w:r>
              <w:rPr>
                <w:rFonts w:ascii="Arial" w:eastAsia="Times New Roman" w:hAnsi="Arial" w:cs="Arial"/>
                <w:b/>
                <w:bCs/>
                <w:color w:val="0B0C0C"/>
                <w:sz w:val="16"/>
                <w:szCs w:val="16"/>
                <w:lang w:eastAsia="en-GB"/>
              </w:rPr>
              <w:t>(Salary plus Universal credit amount)</w:t>
            </w:r>
          </w:p>
        </w:tc>
        <w:tc>
          <w:tcPr>
            <w:tcW w:w="1696" w:type="dxa"/>
          </w:tcPr>
          <w:p w14:paraId="604031CE" w14:textId="77777777" w:rsidR="00144BE5" w:rsidRDefault="00144BE5" w:rsidP="00414079">
            <w:pPr>
              <w:pStyle w:val="NoSpacing"/>
              <w:jc w:val="center"/>
              <w:rPr>
                <w:rFonts w:ascii="Arial" w:hAnsi="Arial" w:cs="Arial"/>
                <w:sz w:val="16"/>
                <w:szCs w:val="16"/>
              </w:rPr>
            </w:pPr>
            <w:r w:rsidRPr="00414079">
              <w:rPr>
                <w:rFonts w:ascii="Arial" w:hAnsi="Arial" w:cs="Arial"/>
                <w:sz w:val="16"/>
                <w:szCs w:val="16"/>
              </w:rPr>
              <w:t>100%</w:t>
            </w:r>
          </w:p>
          <w:p w14:paraId="225F9683" w14:textId="229068B8" w:rsidR="00AD3791" w:rsidRPr="00414079" w:rsidRDefault="00AD3791" w:rsidP="00414079">
            <w:pPr>
              <w:pStyle w:val="NoSpacing"/>
              <w:jc w:val="center"/>
              <w:rPr>
                <w:rFonts w:ascii="Arial" w:hAnsi="Arial" w:cs="Arial"/>
                <w:sz w:val="16"/>
                <w:szCs w:val="16"/>
              </w:rPr>
            </w:pPr>
            <w:r w:rsidRPr="0030629A">
              <w:rPr>
                <w:rFonts w:ascii="Arial" w:eastAsia="Times New Roman" w:hAnsi="Arial" w:cs="Arial"/>
                <w:sz w:val="16"/>
                <w:szCs w:val="16"/>
                <w:lang w:eastAsia="en-GB"/>
              </w:rPr>
              <w:t>(not exceeding £1,000.00)</w:t>
            </w:r>
          </w:p>
        </w:tc>
        <w:tc>
          <w:tcPr>
            <w:tcW w:w="1587" w:type="dxa"/>
          </w:tcPr>
          <w:p w14:paraId="407B2832" w14:textId="77777777" w:rsidR="00144BE5" w:rsidRPr="00414079" w:rsidRDefault="00144BE5" w:rsidP="00414079">
            <w:pPr>
              <w:pStyle w:val="NoSpacing"/>
              <w:jc w:val="center"/>
              <w:rPr>
                <w:rFonts w:ascii="Arial" w:hAnsi="Arial" w:cs="Arial"/>
                <w:sz w:val="16"/>
                <w:szCs w:val="16"/>
              </w:rPr>
            </w:pPr>
            <w:r w:rsidRPr="00414079">
              <w:rPr>
                <w:rFonts w:ascii="Arial" w:hAnsi="Arial" w:cs="Arial"/>
                <w:sz w:val="16"/>
                <w:szCs w:val="16"/>
              </w:rPr>
              <w:t>75%</w:t>
            </w:r>
          </w:p>
        </w:tc>
        <w:tc>
          <w:tcPr>
            <w:tcW w:w="1415" w:type="dxa"/>
          </w:tcPr>
          <w:p w14:paraId="59799207" w14:textId="0E093247" w:rsidR="00144BE5" w:rsidRPr="00414079" w:rsidRDefault="00022F0B" w:rsidP="00414079">
            <w:pPr>
              <w:pStyle w:val="NoSpacing"/>
              <w:jc w:val="center"/>
              <w:rPr>
                <w:rFonts w:ascii="Arial" w:hAnsi="Arial" w:cs="Arial"/>
                <w:sz w:val="16"/>
                <w:szCs w:val="16"/>
              </w:rPr>
            </w:pPr>
            <w:r w:rsidRPr="0030629A">
              <w:rPr>
                <w:rFonts w:ascii="Arial" w:hAnsi="Arial" w:cs="Arial"/>
                <w:sz w:val="16"/>
                <w:szCs w:val="16"/>
              </w:rPr>
              <w:t>75</w:t>
            </w:r>
            <w:r w:rsidR="00144BE5" w:rsidRPr="0030629A">
              <w:rPr>
                <w:rFonts w:ascii="Arial" w:hAnsi="Arial" w:cs="Arial"/>
                <w:sz w:val="16"/>
                <w:szCs w:val="16"/>
              </w:rPr>
              <w:t>%</w:t>
            </w:r>
          </w:p>
        </w:tc>
        <w:tc>
          <w:tcPr>
            <w:tcW w:w="1337" w:type="dxa"/>
          </w:tcPr>
          <w:p w14:paraId="4A920207" w14:textId="0E02C548" w:rsidR="00144BE5" w:rsidRPr="00414079" w:rsidRDefault="00144BE5" w:rsidP="00414079">
            <w:pPr>
              <w:pStyle w:val="NoSpacing"/>
              <w:jc w:val="center"/>
              <w:rPr>
                <w:rFonts w:ascii="Arial" w:hAnsi="Arial" w:cs="Arial"/>
                <w:sz w:val="16"/>
                <w:szCs w:val="16"/>
              </w:rPr>
            </w:pPr>
            <w:r w:rsidRPr="00414079">
              <w:rPr>
                <w:rFonts w:ascii="Arial" w:hAnsi="Arial" w:cs="Arial"/>
                <w:sz w:val="16"/>
                <w:szCs w:val="16"/>
              </w:rPr>
              <w:t>90%</w:t>
            </w:r>
          </w:p>
        </w:tc>
        <w:tc>
          <w:tcPr>
            <w:tcW w:w="1337" w:type="dxa"/>
          </w:tcPr>
          <w:p w14:paraId="71DF6ADC" w14:textId="77777777" w:rsidR="00144BE5" w:rsidRPr="00414079" w:rsidRDefault="00144BE5" w:rsidP="00414079">
            <w:pPr>
              <w:pStyle w:val="NoSpacing"/>
              <w:jc w:val="center"/>
              <w:rPr>
                <w:rFonts w:ascii="Arial" w:hAnsi="Arial" w:cs="Arial"/>
                <w:sz w:val="16"/>
                <w:szCs w:val="16"/>
              </w:rPr>
            </w:pPr>
            <w:r w:rsidRPr="00414079">
              <w:rPr>
                <w:rFonts w:ascii="Arial" w:hAnsi="Arial" w:cs="Arial"/>
                <w:sz w:val="16"/>
                <w:szCs w:val="16"/>
              </w:rPr>
              <w:t>Individual assessment</w:t>
            </w:r>
          </w:p>
        </w:tc>
      </w:tr>
      <w:tr w:rsidR="00144BE5" w:rsidRPr="00414079" w14:paraId="1BDCC1D4" w14:textId="77777777" w:rsidTr="00414079">
        <w:trPr>
          <w:trHeight w:val="474"/>
        </w:trPr>
        <w:tc>
          <w:tcPr>
            <w:tcW w:w="2350" w:type="dxa"/>
          </w:tcPr>
          <w:p w14:paraId="3DBC89E3" w14:textId="77777777" w:rsidR="00144BE5" w:rsidRPr="00414079" w:rsidRDefault="00144BE5" w:rsidP="00393060">
            <w:pPr>
              <w:pStyle w:val="NoSpacing"/>
              <w:jc w:val="center"/>
              <w:rPr>
                <w:rFonts w:ascii="Arial" w:hAnsi="Arial" w:cs="Arial"/>
                <w:sz w:val="16"/>
                <w:szCs w:val="16"/>
              </w:rPr>
            </w:pPr>
            <w:r w:rsidRPr="00414079">
              <w:rPr>
                <w:rFonts w:ascii="Arial" w:hAnsi="Arial" w:cs="Arial"/>
                <w:sz w:val="16"/>
                <w:szCs w:val="16"/>
              </w:rPr>
              <w:t>Exceptional</w:t>
            </w:r>
          </w:p>
        </w:tc>
        <w:tc>
          <w:tcPr>
            <w:tcW w:w="1696" w:type="dxa"/>
          </w:tcPr>
          <w:p w14:paraId="0502990B" w14:textId="77777777" w:rsidR="00144BE5" w:rsidRPr="00414079" w:rsidRDefault="00144BE5" w:rsidP="00393060">
            <w:pPr>
              <w:pStyle w:val="NoSpacing"/>
              <w:jc w:val="center"/>
              <w:rPr>
                <w:rFonts w:ascii="Arial" w:hAnsi="Arial" w:cs="Arial"/>
                <w:sz w:val="16"/>
                <w:szCs w:val="16"/>
              </w:rPr>
            </w:pPr>
            <w:r w:rsidRPr="00414079">
              <w:rPr>
                <w:rFonts w:ascii="Arial" w:hAnsi="Arial" w:cs="Arial"/>
                <w:sz w:val="16"/>
                <w:szCs w:val="16"/>
              </w:rPr>
              <w:t>Individual assessment</w:t>
            </w:r>
          </w:p>
        </w:tc>
        <w:tc>
          <w:tcPr>
            <w:tcW w:w="1587" w:type="dxa"/>
          </w:tcPr>
          <w:p w14:paraId="4FB5EABA" w14:textId="77777777" w:rsidR="00144BE5" w:rsidRPr="00414079" w:rsidRDefault="00144BE5" w:rsidP="00393060">
            <w:pPr>
              <w:pStyle w:val="NoSpacing"/>
              <w:jc w:val="center"/>
              <w:rPr>
                <w:rFonts w:ascii="Arial" w:hAnsi="Arial" w:cs="Arial"/>
                <w:sz w:val="16"/>
                <w:szCs w:val="16"/>
              </w:rPr>
            </w:pPr>
            <w:r w:rsidRPr="00414079">
              <w:rPr>
                <w:rFonts w:ascii="Arial" w:hAnsi="Arial" w:cs="Arial"/>
                <w:sz w:val="16"/>
                <w:szCs w:val="16"/>
              </w:rPr>
              <w:t>Individual assessment</w:t>
            </w:r>
          </w:p>
        </w:tc>
        <w:tc>
          <w:tcPr>
            <w:tcW w:w="1415" w:type="dxa"/>
          </w:tcPr>
          <w:p w14:paraId="10FAB019" w14:textId="77777777" w:rsidR="00144BE5" w:rsidRPr="00414079" w:rsidRDefault="00144BE5" w:rsidP="00393060">
            <w:pPr>
              <w:pStyle w:val="NoSpacing"/>
              <w:jc w:val="center"/>
              <w:rPr>
                <w:rFonts w:ascii="Arial" w:hAnsi="Arial" w:cs="Arial"/>
                <w:sz w:val="16"/>
                <w:szCs w:val="16"/>
              </w:rPr>
            </w:pPr>
            <w:r w:rsidRPr="00414079">
              <w:rPr>
                <w:rFonts w:ascii="Arial" w:hAnsi="Arial" w:cs="Arial"/>
                <w:sz w:val="16"/>
                <w:szCs w:val="16"/>
              </w:rPr>
              <w:t>Individual assessment</w:t>
            </w:r>
          </w:p>
        </w:tc>
        <w:tc>
          <w:tcPr>
            <w:tcW w:w="1337" w:type="dxa"/>
          </w:tcPr>
          <w:p w14:paraId="5521C481" w14:textId="76D90130" w:rsidR="00144BE5" w:rsidRPr="00414079" w:rsidRDefault="00144BE5" w:rsidP="00393060">
            <w:pPr>
              <w:pStyle w:val="NoSpacing"/>
              <w:jc w:val="center"/>
              <w:rPr>
                <w:rFonts w:ascii="Arial" w:hAnsi="Arial" w:cs="Arial"/>
                <w:sz w:val="16"/>
                <w:szCs w:val="16"/>
              </w:rPr>
            </w:pPr>
            <w:r w:rsidRPr="00414079">
              <w:rPr>
                <w:rFonts w:ascii="Arial" w:hAnsi="Arial" w:cs="Arial"/>
                <w:sz w:val="16"/>
                <w:szCs w:val="16"/>
              </w:rPr>
              <w:t>Individual assessment</w:t>
            </w:r>
          </w:p>
        </w:tc>
        <w:tc>
          <w:tcPr>
            <w:tcW w:w="1337" w:type="dxa"/>
          </w:tcPr>
          <w:p w14:paraId="7C427057" w14:textId="5E649E82" w:rsidR="00144BE5" w:rsidRPr="00414079" w:rsidRDefault="00144BE5" w:rsidP="00393060">
            <w:pPr>
              <w:pStyle w:val="NoSpacing"/>
              <w:jc w:val="center"/>
              <w:rPr>
                <w:rFonts w:ascii="Arial" w:hAnsi="Arial" w:cs="Arial"/>
                <w:sz w:val="16"/>
                <w:szCs w:val="16"/>
              </w:rPr>
            </w:pPr>
            <w:r w:rsidRPr="00414079">
              <w:rPr>
                <w:rFonts w:ascii="Arial" w:hAnsi="Arial" w:cs="Arial"/>
                <w:sz w:val="16"/>
                <w:szCs w:val="16"/>
              </w:rPr>
              <w:t>Individual assessment</w:t>
            </w:r>
          </w:p>
        </w:tc>
      </w:tr>
    </w:tbl>
    <w:p w14:paraId="6F354571" w14:textId="77777777" w:rsidR="00C74355" w:rsidRDefault="00C74355" w:rsidP="004B16C8">
      <w:pPr>
        <w:autoSpaceDE w:val="0"/>
        <w:autoSpaceDN w:val="0"/>
        <w:adjustRightInd w:val="0"/>
        <w:spacing w:after="0" w:line="240" w:lineRule="auto"/>
        <w:rPr>
          <w:rFonts w:cstheme="minorHAnsi"/>
        </w:rPr>
      </w:pPr>
    </w:p>
    <w:p w14:paraId="69B5EE45" w14:textId="77777777" w:rsidR="00B93792" w:rsidRPr="00B93792" w:rsidRDefault="00B93792" w:rsidP="00B93792">
      <w:pPr>
        <w:pStyle w:val="NoSpacing"/>
        <w:rPr>
          <w:rFonts w:ascii="Arial" w:hAnsi="Arial" w:cs="Arial"/>
          <w:b/>
          <w:bCs/>
        </w:rPr>
      </w:pPr>
      <w:r w:rsidRPr="00B93792">
        <w:rPr>
          <w:rFonts w:ascii="Arial" w:hAnsi="Arial" w:cs="Arial"/>
          <w:b/>
          <w:bCs/>
        </w:rPr>
        <w:t>ADVANCED LEARNER LOAN BURSA</w:t>
      </w:r>
      <w:r w:rsidR="00393060">
        <w:rPr>
          <w:rFonts w:ascii="Arial" w:hAnsi="Arial" w:cs="Arial"/>
          <w:b/>
          <w:bCs/>
        </w:rPr>
        <w:t>R</w:t>
      </w:r>
      <w:r w:rsidRPr="00B93792">
        <w:rPr>
          <w:rFonts w:ascii="Arial" w:hAnsi="Arial" w:cs="Arial"/>
          <w:b/>
          <w:bCs/>
        </w:rPr>
        <w:t>Y</w:t>
      </w:r>
    </w:p>
    <w:p w14:paraId="0382AE67" w14:textId="77777777" w:rsidR="00B93792" w:rsidRPr="00B93792" w:rsidRDefault="00B93792" w:rsidP="00B93792">
      <w:pPr>
        <w:pStyle w:val="NoSpacing"/>
        <w:rPr>
          <w:rFonts w:ascii="Arial" w:hAnsi="Arial" w:cs="Arial"/>
        </w:rPr>
      </w:pPr>
      <w:r w:rsidRPr="00B93792">
        <w:rPr>
          <w:rFonts w:ascii="Arial" w:hAnsi="Arial" w:cs="Arial"/>
        </w:rPr>
        <w:t xml:space="preserve"> </w:t>
      </w:r>
    </w:p>
    <w:p w14:paraId="47695705" w14:textId="45F6D2E7" w:rsidR="00B93792" w:rsidRPr="00DD75C5" w:rsidRDefault="00B93792" w:rsidP="00B93792">
      <w:pPr>
        <w:pStyle w:val="NoSpacing"/>
        <w:rPr>
          <w:rFonts w:ascii="Arial" w:hAnsi="Arial" w:cs="Arial"/>
          <w:sz w:val="20"/>
          <w:szCs w:val="20"/>
        </w:rPr>
      </w:pPr>
      <w:r w:rsidRPr="00DD75C5">
        <w:rPr>
          <w:rFonts w:ascii="Arial" w:hAnsi="Arial" w:cs="Arial"/>
          <w:sz w:val="20"/>
          <w:szCs w:val="20"/>
        </w:rPr>
        <w:t xml:space="preserve">The 19+ Advance Learner Loan Bursary is aimed at helping vulnerable or disadvantages learners such as those with learning difficulties or disabilities, parents who need help with childcare and ex-military personnel. The Bursary Fund can only be used by learners who have taken out a 19+ Advance Learner Loan. If a learner does not take out a loan but pays the fees in one payment at the start of their course/programme or in instalments in the first few months, they cannot access the Bursary Fund. The fund is income assessed and learners will be expected to have a household income of not more than </w:t>
      </w:r>
      <w:r w:rsidRPr="00132771">
        <w:rPr>
          <w:rFonts w:ascii="Arial" w:hAnsi="Arial" w:cs="Arial"/>
          <w:sz w:val="20"/>
          <w:szCs w:val="20"/>
        </w:rPr>
        <w:t>£2</w:t>
      </w:r>
      <w:r w:rsidR="00886BD6">
        <w:rPr>
          <w:rFonts w:ascii="Arial" w:hAnsi="Arial" w:cs="Arial"/>
          <w:sz w:val="20"/>
          <w:szCs w:val="20"/>
        </w:rPr>
        <w:t>7</w:t>
      </w:r>
      <w:r w:rsidRPr="00132771">
        <w:rPr>
          <w:rFonts w:ascii="Arial" w:hAnsi="Arial" w:cs="Arial"/>
          <w:sz w:val="20"/>
          <w:szCs w:val="20"/>
        </w:rPr>
        <w:t>,000 (gross).</w:t>
      </w:r>
      <w:r w:rsidRPr="00DD75C5">
        <w:rPr>
          <w:rFonts w:ascii="Arial" w:hAnsi="Arial" w:cs="Arial"/>
          <w:sz w:val="20"/>
          <w:szCs w:val="20"/>
        </w:rPr>
        <w:t xml:space="preserve">  Learners aged 19+ are normally assessed as independent learners and household income is assessed on their own income or with that of their spouse/partner if applicable. If a learner has no income, then the household income will be based on the income of the person(s) on whom the learner is dependent. </w:t>
      </w:r>
    </w:p>
    <w:p w14:paraId="2F3C3E19" w14:textId="77777777" w:rsidR="00B93792" w:rsidRPr="004B6E88" w:rsidRDefault="00B93792" w:rsidP="00B93792">
      <w:pPr>
        <w:pStyle w:val="NoSpacing"/>
      </w:pPr>
    </w:p>
    <w:tbl>
      <w:tblPr>
        <w:tblStyle w:val="TableGrid"/>
        <w:tblW w:w="9591" w:type="dxa"/>
        <w:tblLook w:val="04A0" w:firstRow="1" w:lastRow="0" w:firstColumn="1" w:lastColumn="0" w:noHBand="0" w:noVBand="1"/>
      </w:tblPr>
      <w:tblGrid>
        <w:gridCol w:w="2590"/>
        <w:gridCol w:w="1556"/>
        <w:gridCol w:w="1427"/>
        <w:gridCol w:w="1426"/>
        <w:gridCol w:w="1296"/>
        <w:gridCol w:w="1296"/>
      </w:tblGrid>
      <w:tr w:rsidR="00144BE5" w:rsidRPr="00414079" w14:paraId="02FB401E" w14:textId="77777777" w:rsidTr="00144BE5">
        <w:trPr>
          <w:trHeight w:val="268"/>
        </w:trPr>
        <w:tc>
          <w:tcPr>
            <w:tcW w:w="2590" w:type="dxa"/>
            <w:shd w:val="clear" w:color="auto" w:fill="44546A" w:themeFill="text2"/>
          </w:tcPr>
          <w:p w14:paraId="35271269" w14:textId="77777777" w:rsidR="00144BE5" w:rsidRPr="00414079" w:rsidRDefault="00144BE5" w:rsidP="00B93792">
            <w:pPr>
              <w:pStyle w:val="NoSpacing"/>
              <w:jc w:val="center"/>
              <w:rPr>
                <w:rFonts w:ascii="Arial" w:hAnsi="Arial" w:cs="Arial"/>
                <w:color w:val="FFFFFF" w:themeColor="background1"/>
                <w:sz w:val="16"/>
                <w:szCs w:val="16"/>
              </w:rPr>
            </w:pPr>
            <w:r w:rsidRPr="00414079">
              <w:rPr>
                <w:rFonts w:ascii="Arial" w:hAnsi="Arial" w:cs="Arial"/>
                <w:color w:val="FFFFFF" w:themeColor="background1"/>
                <w:sz w:val="16"/>
                <w:szCs w:val="16"/>
              </w:rPr>
              <w:t>Income Band</w:t>
            </w:r>
          </w:p>
        </w:tc>
        <w:tc>
          <w:tcPr>
            <w:tcW w:w="1556" w:type="dxa"/>
            <w:shd w:val="clear" w:color="auto" w:fill="44546A" w:themeFill="text2"/>
          </w:tcPr>
          <w:p w14:paraId="36FA0B01" w14:textId="77777777" w:rsidR="00144BE5" w:rsidRPr="00414079" w:rsidRDefault="00144BE5" w:rsidP="00B93792">
            <w:pPr>
              <w:pStyle w:val="NoSpacing"/>
              <w:jc w:val="center"/>
              <w:rPr>
                <w:rFonts w:ascii="Arial" w:hAnsi="Arial" w:cs="Arial"/>
                <w:color w:val="FFFFFF" w:themeColor="background1"/>
                <w:sz w:val="16"/>
                <w:szCs w:val="16"/>
              </w:rPr>
            </w:pPr>
            <w:r w:rsidRPr="00414079">
              <w:rPr>
                <w:rFonts w:ascii="Arial" w:hAnsi="Arial" w:cs="Arial"/>
                <w:color w:val="FFFFFF" w:themeColor="background1"/>
                <w:sz w:val="16"/>
                <w:szCs w:val="16"/>
              </w:rPr>
              <w:t>Travel</w:t>
            </w:r>
          </w:p>
        </w:tc>
        <w:tc>
          <w:tcPr>
            <w:tcW w:w="1427" w:type="dxa"/>
            <w:shd w:val="clear" w:color="auto" w:fill="44546A" w:themeFill="text2"/>
          </w:tcPr>
          <w:p w14:paraId="3184FC6E" w14:textId="77777777" w:rsidR="00144BE5" w:rsidRPr="00414079" w:rsidRDefault="00144BE5" w:rsidP="00B93792">
            <w:pPr>
              <w:pStyle w:val="NoSpacing"/>
              <w:jc w:val="center"/>
              <w:rPr>
                <w:rFonts w:ascii="Arial" w:hAnsi="Arial" w:cs="Arial"/>
                <w:color w:val="FFFFFF" w:themeColor="background1"/>
                <w:sz w:val="16"/>
                <w:szCs w:val="16"/>
              </w:rPr>
            </w:pPr>
            <w:r w:rsidRPr="00414079">
              <w:rPr>
                <w:rFonts w:ascii="Arial" w:hAnsi="Arial" w:cs="Arial"/>
                <w:color w:val="FFFFFF" w:themeColor="background1"/>
                <w:sz w:val="16"/>
                <w:szCs w:val="16"/>
              </w:rPr>
              <w:t>Kit/Equipment</w:t>
            </w:r>
          </w:p>
        </w:tc>
        <w:tc>
          <w:tcPr>
            <w:tcW w:w="1426" w:type="dxa"/>
            <w:shd w:val="clear" w:color="auto" w:fill="44546A" w:themeFill="text2"/>
          </w:tcPr>
          <w:p w14:paraId="55D4E459" w14:textId="77777777" w:rsidR="00144BE5" w:rsidRPr="00414079" w:rsidRDefault="00144BE5" w:rsidP="00B93792">
            <w:pPr>
              <w:pStyle w:val="NoSpacing"/>
              <w:jc w:val="center"/>
              <w:rPr>
                <w:rFonts w:ascii="Arial" w:hAnsi="Arial" w:cs="Arial"/>
                <w:color w:val="FFFFFF" w:themeColor="background1"/>
                <w:sz w:val="16"/>
                <w:szCs w:val="16"/>
              </w:rPr>
            </w:pPr>
            <w:r w:rsidRPr="00414079">
              <w:rPr>
                <w:rFonts w:ascii="Arial" w:hAnsi="Arial" w:cs="Arial"/>
                <w:color w:val="FFFFFF" w:themeColor="background1"/>
                <w:sz w:val="16"/>
                <w:szCs w:val="16"/>
              </w:rPr>
              <w:t>Trip</w:t>
            </w:r>
          </w:p>
        </w:tc>
        <w:tc>
          <w:tcPr>
            <w:tcW w:w="1296" w:type="dxa"/>
            <w:shd w:val="clear" w:color="auto" w:fill="44546A" w:themeFill="text2"/>
          </w:tcPr>
          <w:p w14:paraId="2F3D5B0C" w14:textId="796C9274" w:rsidR="00144BE5" w:rsidRPr="00414079" w:rsidRDefault="00144BE5" w:rsidP="00B93792">
            <w:pPr>
              <w:pStyle w:val="NoSpacing"/>
              <w:jc w:val="center"/>
              <w:rPr>
                <w:rFonts w:ascii="Arial" w:hAnsi="Arial" w:cs="Arial"/>
                <w:color w:val="FFFFFF" w:themeColor="background1"/>
                <w:sz w:val="16"/>
                <w:szCs w:val="16"/>
              </w:rPr>
            </w:pPr>
            <w:r w:rsidRPr="00414079">
              <w:rPr>
                <w:rFonts w:ascii="Arial" w:hAnsi="Arial" w:cs="Arial"/>
                <w:color w:val="FFFFFF" w:themeColor="background1"/>
                <w:sz w:val="16"/>
                <w:szCs w:val="16"/>
              </w:rPr>
              <w:t>Childcare</w:t>
            </w:r>
          </w:p>
        </w:tc>
        <w:tc>
          <w:tcPr>
            <w:tcW w:w="1296" w:type="dxa"/>
            <w:shd w:val="clear" w:color="auto" w:fill="44546A" w:themeFill="text2"/>
          </w:tcPr>
          <w:p w14:paraId="634902BF" w14:textId="0172E164" w:rsidR="00144BE5" w:rsidRPr="00414079" w:rsidRDefault="00144BE5" w:rsidP="00B93792">
            <w:pPr>
              <w:pStyle w:val="NoSpacing"/>
              <w:jc w:val="center"/>
              <w:rPr>
                <w:rFonts w:ascii="Arial" w:hAnsi="Arial" w:cs="Arial"/>
                <w:color w:val="FFFFFF" w:themeColor="background1"/>
                <w:sz w:val="16"/>
                <w:szCs w:val="16"/>
              </w:rPr>
            </w:pPr>
            <w:r w:rsidRPr="00414079">
              <w:rPr>
                <w:rFonts w:ascii="Arial" w:hAnsi="Arial" w:cs="Arial"/>
                <w:color w:val="FFFFFF" w:themeColor="background1"/>
                <w:sz w:val="16"/>
                <w:szCs w:val="16"/>
              </w:rPr>
              <w:t>Other</w:t>
            </w:r>
          </w:p>
        </w:tc>
      </w:tr>
      <w:tr w:rsidR="00AD3791" w:rsidRPr="00414079" w14:paraId="42078813" w14:textId="77777777" w:rsidTr="00414079">
        <w:trPr>
          <w:trHeight w:val="284"/>
        </w:trPr>
        <w:tc>
          <w:tcPr>
            <w:tcW w:w="2590" w:type="dxa"/>
          </w:tcPr>
          <w:p w14:paraId="4F41F481" w14:textId="2905BB77" w:rsidR="00AD3791" w:rsidRDefault="00AD3791" w:rsidP="00AD3791">
            <w:pPr>
              <w:pStyle w:val="NoSpacing"/>
              <w:jc w:val="center"/>
              <w:rPr>
                <w:rFonts w:ascii="Arial" w:hAnsi="Arial" w:cs="Arial"/>
                <w:sz w:val="16"/>
                <w:szCs w:val="16"/>
              </w:rPr>
            </w:pPr>
            <w:r w:rsidRPr="00414079">
              <w:rPr>
                <w:rFonts w:ascii="Arial" w:hAnsi="Arial" w:cs="Arial"/>
                <w:sz w:val="16"/>
                <w:szCs w:val="16"/>
              </w:rPr>
              <w:t>In receipt of a means-tested benefit OR Income under £2</w:t>
            </w:r>
            <w:r w:rsidR="00886BD6">
              <w:rPr>
                <w:rFonts w:ascii="Arial" w:hAnsi="Arial" w:cs="Arial"/>
                <w:sz w:val="16"/>
                <w:szCs w:val="16"/>
              </w:rPr>
              <w:t>7</w:t>
            </w:r>
            <w:r w:rsidRPr="00414079">
              <w:rPr>
                <w:rFonts w:ascii="Arial" w:hAnsi="Arial" w:cs="Arial"/>
                <w:sz w:val="16"/>
                <w:szCs w:val="16"/>
              </w:rPr>
              <w:t>,000</w:t>
            </w:r>
          </w:p>
          <w:p w14:paraId="7BD7737F" w14:textId="7A8292D2" w:rsidR="00AD3791" w:rsidRPr="00414079" w:rsidRDefault="00AD3791" w:rsidP="00AD3791">
            <w:pPr>
              <w:pStyle w:val="NoSpacing"/>
              <w:jc w:val="center"/>
              <w:rPr>
                <w:rFonts w:ascii="Arial" w:hAnsi="Arial" w:cs="Arial"/>
                <w:sz w:val="16"/>
                <w:szCs w:val="16"/>
              </w:rPr>
            </w:pPr>
            <w:r>
              <w:rPr>
                <w:rFonts w:ascii="Arial" w:eastAsia="Times New Roman" w:hAnsi="Arial" w:cs="Arial"/>
                <w:b/>
                <w:bCs/>
                <w:color w:val="0B0C0C"/>
                <w:sz w:val="16"/>
                <w:szCs w:val="16"/>
                <w:lang w:eastAsia="en-GB"/>
              </w:rPr>
              <w:t>(Salary plus Universal credit amount)</w:t>
            </w:r>
          </w:p>
        </w:tc>
        <w:tc>
          <w:tcPr>
            <w:tcW w:w="1556" w:type="dxa"/>
          </w:tcPr>
          <w:p w14:paraId="700EB594" w14:textId="77777777" w:rsidR="00AD3791" w:rsidRDefault="00AD3791" w:rsidP="00AD3791">
            <w:pPr>
              <w:pStyle w:val="NoSpacing"/>
              <w:jc w:val="center"/>
              <w:rPr>
                <w:rFonts w:ascii="Arial" w:hAnsi="Arial" w:cs="Arial"/>
                <w:sz w:val="16"/>
                <w:szCs w:val="16"/>
              </w:rPr>
            </w:pPr>
            <w:r w:rsidRPr="00414079">
              <w:rPr>
                <w:rFonts w:ascii="Arial" w:hAnsi="Arial" w:cs="Arial"/>
                <w:sz w:val="16"/>
                <w:szCs w:val="16"/>
              </w:rPr>
              <w:t>100%</w:t>
            </w:r>
            <w:r>
              <w:rPr>
                <w:rFonts w:ascii="Arial" w:hAnsi="Arial" w:cs="Arial"/>
                <w:sz w:val="16"/>
                <w:szCs w:val="16"/>
              </w:rPr>
              <w:t xml:space="preserve"> </w:t>
            </w:r>
          </w:p>
          <w:p w14:paraId="4D2E859C" w14:textId="0A3D6314" w:rsidR="00AD3791" w:rsidRPr="00414079" w:rsidRDefault="00AD3791" w:rsidP="00AD3791">
            <w:pPr>
              <w:pStyle w:val="NoSpacing"/>
              <w:jc w:val="center"/>
              <w:rPr>
                <w:rFonts w:ascii="Arial" w:hAnsi="Arial" w:cs="Arial"/>
                <w:sz w:val="16"/>
                <w:szCs w:val="16"/>
              </w:rPr>
            </w:pPr>
            <w:r w:rsidRPr="0030629A">
              <w:rPr>
                <w:rFonts w:ascii="Arial" w:eastAsia="Times New Roman" w:hAnsi="Arial" w:cs="Arial"/>
                <w:sz w:val="16"/>
                <w:szCs w:val="16"/>
                <w:lang w:eastAsia="en-GB"/>
              </w:rPr>
              <w:t>(not exceeding £1,000.00)</w:t>
            </w:r>
          </w:p>
        </w:tc>
        <w:tc>
          <w:tcPr>
            <w:tcW w:w="1427" w:type="dxa"/>
          </w:tcPr>
          <w:p w14:paraId="081AEA0C" w14:textId="5BF58C03" w:rsidR="00AD3791" w:rsidRPr="00414079" w:rsidRDefault="00AD3791" w:rsidP="00AD3791">
            <w:pPr>
              <w:pStyle w:val="NoSpacing"/>
              <w:jc w:val="center"/>
              <w:rPr>
                <w:rFonts w:ascii="Arial" w:hAnsi="Arial" w:cs="Arial"/>
                <w:sz w:val="16"/>
                <w:szCs w:val="16"/>
              </w:rPr>
            </w:pPr>
            <w:r w:rsidRPr="003505B0">
              <w:rPr>
                <w:rFonts w:ascii="Arial" w:hAnsi="Arial" w:cs="Arial"/>
                <w:sz w:val="16"/>
                <w:szCs w:val="16"/>
              </w:rPr>
              <w:t>100%</w:t>
            </w:r>
          </w:p>
        </w:tc>
        <w:tc>
          <w:tcPr>
            <w:tcW w:w="1426" w:type="dxa"/>
          </w:tcPr>
          <w:p w14:paraId="65C4BC38" w14:textId="76092960" w:rsidR="00AD3791" w:rsidRPr="00414079" w:rsidRDefault="00AD3791" w:rsidP="00AD3791">
            <w:pPr>
              <w:pStyle w:val="NoSpacing"/>
              <w:jc w:val="center"/>
              <w:rPr>
                <w:rFonts w:ascii="Arial" w:hAnsi="Arial" w:cs="Arial"/>
                <w:sz w:val="16"/>
                <w:szCs w:val="16"/>
              </w:rPr>
            </w:pPr>
            <w:r w:rsidRPr="003505B0">
              <w:rPr>
                <w:rFonts w:ascii="Arial" w:hAnsi="Arial" w:cs="Arial"/>
                <w:sz w:val="16"/>
                <w:szCs w:val="16"/>
              </w:rPr>
              <w:t>100%</w:t>
            </w:r>
          </w:p>
        </w:tc>
        <w:tc>
          <w:tcPr>
            <w:tcW w:w="1296" w:type="dxa"/>
          </w:tcPr>
          <w:p w14:paraId="62E51407" w14:textId="5885435B" w:rsidR="00AD3791" w:rsidRPr="00414079" w:rsidRDefault="00AD3791" w:rsidP="00AD3791">
            <w:pPr>
              <w:pStyle w:val="NoSpacing"/>
              <w:jc w:val="center"/>
              <w:rPr>
                <w:rFonts w:ascii="Arial" w:hAnsi="Arial" w:cs="Arial"/>
                <w:sz w:val="16"/>
                <w:szCs w:val="16"/>
              </w:rPr>
            </w:pPr>
            <w:r w:rsidRPr="003505B0">
              <w:rPr>
                <w:rFonts w:ascii="Arial" w:hAnsi="Arial" w:cs="Arial"/>
                <w:sz w:val="16"/>
                <w:szCs w:val="16"/>
              </w:rPr>
              <w:t>100%</w:t>
            </w:r>
          </w:p>
        </w:tc>
        <w:tc>
          <w:tcPr>
            <w:tcW w:w="1296" w:type="dxa"/>
          </w:tcPr>
          <w:p w14:paraId="03BE9930" w14:textId="77777777" w:rsidR="00AD3791" w:rsidRPr="00414079" w:rsidRDefault="00AD3791" w:rsidP="00AD3791">
            <w:pPr>
              <w:pStyle w:val="NoSpacing"/>
              <w:jc w:val="center"/>
              <w:rPr>
                <w:rFonts w:ascii="Arial" w:hAnsi="Arial" w:cs="Arial"/>
                <w:sz w:val="16"/>
                <w:szCs w:val="16"/>
              </w:rPr>
            </w:pPr>
            <w:r w:rsidRPr="00414079">
              <w:rPr>
                <w:rFonts w:ascii="Arial" w:hAnsi="Arial" w:cs="Arial"/>
                <w:sz w:val="16"/>
                <w:szCs w:val="16"/>
              </w:rPr>
              <w:t>Individual assessment</w:t>
            </w:r>
          </w:p>
        </w:tc>
      </w:tr>
      <w:tr w:rsidR="00144BE5" w:rsidRPr="00414079" w14:paraId="5E7FED4A" w14:textId="77777777" w:rsidTr="00414079">
        <w:trPr>
          <w:trHeight w:val="420"/>
        </w:trPr>
        <w:tc>
          <w:tcPr>
            <w:tcW w:w="2590" w:type="dxa"/>
          </w:tcPr>
          <w:p w14:paraId="35FC1F3D" w14:textId="77777777" w:rsidR="00144BE5" w:rsidRPr="00414079" w:rsidRDefault="00144BE5" w:rsidP="00B93792">
            <w:pPr>
              <w:pStyle w:val="NoSpacing"/>
              <w:jc w:val="center"/>
              <w:rPr>
                <w:rFonts w:ascii="Arial" w:hAnsi="Arial" w:cs="Arial"/>
                <w:sz w:val="16"/>
                <w:szCs w:val="16"/>
              </w:rPr>
            </w:pPr>
            <w:r w:rsidRPr="00414079">
              <w:rPr>
                <w:rFonts w:ascii="Arial" w:hAnsi="Arial" w:cs="Arial"/>
                <w:sz w:val="16"/>
                <w:szCs w:val="16"/>
              </w:rPr>
              <w:t>Exceptional</w:t>
            </w:r>
          </w:p>
        </w:tc>
        <w:tc>
          <w:tcPr>
            <w:tcW w:w="1556" w:type="dxa"/>
          </w:tcPr>
          <w:p w14:paraId="244734F0" w14:textId="77777777" w:rsidR="00144BE5" w:rsidRPr="00414079" w:rsidRDefault="00144BE5" w:rsidP="00414079">
            <w:pPr>
              <w:pStyle w:val="NoSpacing"/>
              <w:jc w:val="center"/>
              <w:rPr>
                <w:rFonts w:ascii="Arial" w:hAnsi="Arial" w:cs="Arial"/>
                <w:sz w:val="16"/>
                <w:szCs w:val="16"/>
              </w:rPr>
            </w:pPr>
            <w:r w:rsidRPr="00414079">
              <w:rPr>
                <w:rFonts w:ascii="Arial" w:hAnsi="Arial" w:cs="Arial"/>
                <w:sz w:val="16"/>
                <w:szCs w:val="16"/>
              </w:rPr>
              <w:t>Individual assessment</w:t>
            </w:r>
          </w:p>
        </w:tc>
        <w:tc>
          <w:tcPr>
            <w:tcW w:w="1427" w:type="dxa"/>
          </w:tcPr>
          <w:p w14:paraId="5AC6A37E" w14:textId="77777777" w:rsidR="00144BE5" w:rsidRPr="00414079" w:rsidRDefault="00144BE5" w:rsidP="00414079">
            <w:pPr>
              <w:pStyle w:val="NoSpacing"/>
              <w:jc w:val="center"/>
              <w:rPr>
                <w:rFonts w:ascii="Arial" w:hAnsi="Arial" w:cs="Arial"/>
                <w:sz w:val="16"/>
                <w:szCs w:val="16"/>
              </w:rPr>
            </w:pPr>
            <w:r w:rsidRPr="00414079">
              <w:rPr>
                <w:rFonts w:ascii="Arial" w:hAnsi="Arial" w:cs="Arial"/>
                <w:sz w:val="16"/>
                <w:szCs w:val="16"/>
              </w:rPr>
              <w:t>Individual assessment</w:t>
            </w:r>
          </w:p>
        </w:tc>
        <w:tc>
          <w:tcPr>
            <w:tcW w:w="1426" w:type="dxa"/>
          </w:tcPr>
          <w:p w14:paraId="117AFD7B" w14:textId="77777777" w:rsidR="00144BE5" w:rsidRPr="00414079" w:rsidRDefault="00144BE5" w:rsidP="00414079">
            <w:pPr>
              <w:pStyle w:val="NoSpacing"/>
              <w:jc w:val="center"/>
              <w:rPr>
                <w:rFonts w:ascii="Arial" w:hAnsi="Arial" w:cs="Arial"/>
                <w:sz w:val="16"/>
                <w:szCs w:val="16"/>
              </w:rPr>
            </w:pPr>
            <w:r w:rsidRPr="00414079">
              <w:rPr>
                <w:rFonts w:ascii="Arial" w:hAnsi="Arial" w:cs="Arial"/>
                <w:sz w:val="16"/>
                <w:szCs w:val="16"/>
              </w:rPr>
              <w:t>Individual assessment</w:t>
            </w:r>
          </w:p>
        </w:tc>
        <w:tc>
          <w:tcPr>
            <w:tcW w:w="1296" w:type="dxa"/>
          </w:tcPr>
          <w:p w14:paraId="3550B0B5" w14:textId="6FD637A2" w:rsidR="00144BE5" w:rsidRPr="00414079" w:rsidRDefault="00144BE5" w:rsidP="00414079">
            <w:pPr>
              <w:pStyle w:val="NoSpacing"/>
              <w:jc w:val="center"/>
              <w:rPr>
                <w:rFonts w:ascii="Arial" w:hAnsi="Arial" w:cs="Arial"/>
                <w:sz w:val="16"/>
                <w:szCs w:val="16"/>
              </w:rPr>
            </w:pPr>
            <w:r w:rsidRPr="00414079">
              <w:rPr>
                <w:rFonts w:ascii="Arial" w:hAnsi="Arial" w:cs="Arial"/>
                <w:sz w:val="16"/>
                <w:szCs w:val="16"/>
              </w:rPr>
              <w:t>Individual assessment</w:t>
            </w:r>
          </w:p>
        </w:tc>
        <w:tc>
          <w:tcPr>
            <w:tcW w:w="1296" w:type="dxa"/>
          </w:tcPr>
          <w:p w14:paraId="365B0FF5" w14:textId="093E47AF" w:rsidR="00144BE5" w:rsidRPr="00414079" w:rsidRDefault="00144BE5" w:rsidP="00414079">
            <w:pPr>
              <w:pStyle w:val="NoSpacing"/>
              <w:jc w:val="center"/>
              <w:rPr>
                <w:rFonts w:ascii="Arial" w:hAnsi="Arial" w:cs="Arial"/>
                <w:sz w:val="16"/>
                <w:szCs w:val="16"/>
              </w:rPr>
            </w:pPr>
            <w:r w:rsidRPr="00414079">
              <w:rPr>
                <w:rFonts w:ascii="Arial" w:hAnsi="Arial" w:cs="Arial"/>
                <w:sz w:val="16"/>
                <w:szCs w:val="16"/>
              </w:rPr>
              <w:t>Individual assessment</w:t>
            </w:r>
          </w:p>
        </w:tc>
      </w:tr>
    </w:tbl>
    <w:p w14:paraId="6CBF0E11" w14:textId="35B75159" w:rsidR="00B93792" w:rsidRDefault="00B93792" w:rsidP="00414079">
      <w:pPr>
        <w:autoSpaceDE w:val="0"/>
        <w:autoSpaceDN w:val="0"/>
        <w:adjustRightInd w:val="0"/>
        <w:spacing w:after="0" w:line="240" w:lineRule="auto"/>
        <w:rPr>
          <w:rFonts w:cstheme="minorHAnsi"/>
        </w:rPr>
      </w:pPr>
    </w:p>
    <w:p w14:paraId="5AEE3365" w14:textId="77777777" w:rsidR="00332760" w:rsidRPr="0030629A" w:rsidRDefault="00332760" w:rsidP="0030629A">
      <w:pPr>
        <w:autoSpaceDE w:val="0"/>
        <w:autoSpaceDN w:val="0"/>
        <w:adjustRightInd w:val="0"/>
        <w:spacing w:after="0" w:line="240" w:lineRule="auto"/>
        <w:rPr>
          <w:rFonts w:cstheme="minorHAnsi"/>
          <w:color w:val="FF0000"/>
        </w:rPr>
      </w:pPr>
    </w:p>
    <w:p w14:paraId="7CC0CCAD" w14:textId="77777777" w:rsidR="00332760" w:rsidRDefault="00332760" w:rsidP="00332760">
      <w:pPr>
        <w:pStyle w:val="ListParagraph"/>
        <w:autoSpaceDE w:val="0"/>
        <w:autoSpaceDN w:val="0"/>
        <w:adjustRightInd w:val="0"/>
        <w:spacing w:after="0" w:line="240" w:lineRule="auto"/>
        <w:rPr>
          <w:rFonts w:cstheme="minorHAnsi"/>
        </w:rPr>
      </w:pPr>
    </w:p>
    <w:p w14:paraId="279CABBC" w14:textId="77777777" w:rsidR="00DD75C5" w:rsidRPr="00DD75C5" w:rsidRDefault="00DD75C5" w:rsidP="00DD75C5">
      <w:pPr>
        <w:autoSpaceDE w:val="0"/>
        <w:autoSpaceDN w:val="0"/>
        <w:adjustRightInd w:val="0"/>
        <w:spacing w:after="0" w:line="240" w:lineRule="auto"/>
        <w:rPr>
          <w:rFonts w:cstheme="minorHAnsi"/>
        </w:rPr>
      </w:pPr>
    </w:p>
    <w:p w14:paraId="73D1C5B3" w14:textId="501C6621" w:rsidR="00E24AB1" w:rsidRPr="00022F0B" w:rsidRDefault="00E24AB1" w:rsidP="002332AA">
      <w:pPr>
        <w:pStyle w:val="ListParagraph"/>
        <w:autoSpaceDE w:val="0"/>
        <w:autoSpaceDN w:val="0"/>
        <w:adjustRightInd w:val="0"/>
        <w:spacing w:after="0" w:line="240" w:lineRule="auto"/>
        <w:rPr>
          <w:rFonts w:cstheme="minorHAnsi"/>
        </w:rPr>
      </w:pPr>
    </w:p>
    <w:sectPr w:rsidR="00E24AB1" w:rsidRPr="00022F0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6574" w14:textId="77777777" w:rsidR="00FC1F11" w:rsidRDefault="00FC1F11" w:rsidP="00747703">
      <w:pPr>
        <w:spacing w:after="0" w:line="240" w:lineRule="auto"/>
      </w:pPr>
      <w:r>
        <w:separator/>
      </w:r>
    </w:p>
  </w:endnote>
  <w:endnote w:type="continuationSeparator" w:id="0">
    <w:p w14:paraId="4D6E871B" w14:textId="77777777" w:rsidR="00FC1F11" w:rsidRDefault="00FC1F11" w:rsidP="0074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 New WFC Heavy">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48627983"/>
      <w:docPartObj>
        <w:docPartGallery w:val="Page Numbers (Bottom of Page)"/>
        <w:docPartUnique/>
      </w:docPartObj>
    </w:sdtPr>
    <w:sdtEndPr>
      <w:rPr>
        <w:noProof/>
      </w:rPr>
    </w:sdtEndPr>
    <w:sdtContent>
      <w:p w14:paraId="3E9F413C" w14:textId="6D69FE5C" w:rsidR="00747703" w:rsidRPr="00747703" w:rsidRDefault="00747703">
        <w:pPr>
          <w:pStyle w:val="Footer"/>
          <w:jc w:val="right"/>
          <w:rPr>
            <w:rFonts w:ascii="Arial" w:hAnsi="Arial" w:cs="Arial"/>
          </w:rPr>
        </w:pPr>
        <w:r w:rsidRPr="00747703">
          <w:rPr>
            <w:rFonts w:ascii="Arial" w:hAnsi="Arial" w:cs="Arial"/>
          </w:rPr>
          <w:fldChar w:fldCharType="begin"/>
        </w:r>
        <w:r w:rsidRPr="00747703">
          <w:rPr>
            <w:rFonts w:ascii="Arial" w:hAnsi="Arial" w:cs="Arial"/>
          </w:rPr>
          <w:instrText xml:space="preserve"> PAGE   \* MERGEFORMAT </w:instrText>
        </w:r>
        <w:r w:rsidRPr="00747703">
          <w:rPr>
            <w:rFonts w:ascii="Arial" w:hAnsi="Arial" w:cs="Arial"/>
          </w:rPr>
          <w:fldChar w:fldCharType="separate"/>
        </w:r>
        <w:r w:rsidRPr="00747703">
          <w:rPr>
            <w:rFonts w:ascii="Arial" w:hAnsi="Arial" w:cs="Arial"/>
            <w:noProof/>
          </w:rPr>
          <w:t>2</w:t>
        </w:r>
        <w:r w:rsidRPr="00747703">
          <w:rPr>
            <w:rFonts w:ascii="Arial" w:hAnsi="Arial" w:cs="Arial"/>
            <w:noProof/>
          </w:rPr>
          <w:fldChar w:fldCharType="end"/>
        </w:r>
      </w:p>
    </w:sdtContent>
  </w:sdt>
  <w:p w14:paraId="44F2652C" w14:textId="77777777" w:rsidR="00747703" w:rsidRDefault="00747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CEE1" w14:textId="77777777" w:rsidR="00FC1F11" w:rsidRDefault="00FC1F11" w:rsidP="00747703">
      <w:pPr>
        <w:spacing w:after="0" w:line="240" w:lineRule="auto"/>
      </w:pPr>
      <w:r>
        <w:separator/>
      </w:r>
    </w:p>
  </w:footnote>
  <w:footnote w:type="continuationSeparator" w:id="0">
    <w:p w14:paraId="5B527AEF" w14:textId="77777777" w:rsidR="00FC1F11" w:rsidRDefault="00FC1F11" w:rsidP="0074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0C77"/>
    <w:multiLevelType w:val="hybridMultilevel"/>
    <w:tmpl w:val="CB1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E29EE"/>
    <w:multiLevelType w:val="hybridMultilevel"/>
    <w:tmpl w:val="0C58EEF8"/>
    <w:lvl w:ilvl="0" w:tplc="061C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46C50"/>
    <w:multiLevelType w:val="hybridMultilevel"/>
    <w:tmpl w:val="EFF5D3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DE00A68"/>
    <w:multiLevelType w:val="hybridMultilevel"/>
    <w:tmpl w:val="BDE4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56C37"/>
    <w:multiLevelType w:val="hybridMultilevel"/>
    <w:tmpl w:val="74CA0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647F7"/>
    <w:multiLevelType w:val="hybridMultilevel"/>
    <w:tmpl w:val="2446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35917"/>
    <w:multiLevelType w:val="hybridMultilevel"/>
    <w:tmpl w:val="251E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30D2B"/>
    <w:multiLevelType w:val="hybridMultilevel"/>
    <w:tmpl w:val="4F99DF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996FDE"/>
    <w:multiLevelType w:val="hybridMultilevel"/>
    <w:tmpl w:val="D342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13DA0"/>
    <w:multiLevelType w:val="hybridMultilevel"/>
    <w:tmpl w:val="5EB829B2"/>
    <w:lvl w:ilvl="0" w:tplc="74DC98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9686E"/>
    <w:multiLevelType w:val="hybridMultilevel"/>
    <w:tmpl w:val="423A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425B5"/>
    <w:multiLevelType w:val="hybridMultilevel"/>
    <w:tmpl w:val="B56C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714EE"/>
    <w:multiLevelType w:val="hybridMultilevel"/>
    <w:tmpl w:val="41A6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32055"/>
    <w:multiLevelType w:val="hybridMultilevel"/>
    <w:tmpl w:val="35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F7632C"/>
    <w:multiLevelType w:val="hybridMultilevel"/>
    <w:tmpl w:val="B966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3517F"/>
    <w:multiLevelType w:val="hybridMultilevel"/>
    <w:tmpl w:val="8DF0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D1930"/>
    <w:multiLevelType w:val="hybridMultilevel"/>
    <w:tmpl w:val="D72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B777F"/>
    <w:multiLevelType w:val="hybridMultilevel"/>
    <w:tmpl w:val="942A40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958112A"/>
    <w:multiLevelType w:val="hybridMultilevel"/>
    <w:tmpl w:val="37E0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30E32"/>
    <w:multiLevelType w:val="hybridMultilevel"/>
    <w:tmpl w:val="7CC0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6B4824"/>
    <w:multiLevelType w:val="hybridMultilevel"/>
    <w:tmpl w:val="9DFC57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B1478CD"/>
    <w:multiLevelType w:val="hybridMultilevel"/>
    <w:tmpl w:val="0BC00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484C39"/>
    <w:multiLevelType w:val="hybridMultilevel"/>
    <w:tmpl w:val="BF06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908895">
    <w:abstractNumId w:val="12"/>
  </w:num>
  <w:num w:numId="2" w16cid:durableId="1405370922">
    <w:abstractNumId w:val="13"/>
  </w:num>
  <w:num w:numId="3" w16cid:durableId="1569724537">
    <w:abstractNumId w:val="11"/>
  </w:num>
  <w:num w:numId="4" w16cid:durableId="2100713955">
    <w:abstractNumId w:val="22"/>
  </w:num>
  <w:num w:numId="5" w16cid:durableId="109280737">
    <w:abstractNumId w:val="7"/>
  </w:num>
  <w:num w:numId="6" w16cid:durableId="938636875">
    <w:abstractNumId w:val="2"/>
  </w:num>
  <w:num w:numId="7" w16cid:durableId="1767534221">
    <w:abstractNumId w:val="6"/>
  </w:num>
  <w:num w:numId="8" w16cid:durableId="241986041">
    <w:abstractNumId w:val="17"/>
  </w:num>
  <w:num w:numId="9" w16cid:durableId="1021123728">
    <w:abstractNumId w:val="20"/>
  </w:num>
  <w:num w:numId="10" w16cid:durableId="1328705396">
    <w:abstractNumId w:val="3"/>
  </w:num>
  <w:num w:numId="11" w16cid:durableId="697268871">
    <w:abstractNumId w:val="1"/>
  </w:num>
  <w:num w:numId="12" w16cid:durableId="2135561654">
    <w:abstractNumId w:val="10"/>
  </w:num>
  <w:num w:numId="13" w16cid:durableId="130439896">
    <w:abstractNumId w:val="9"/>
  </w:num>
  <w:num w:numId="14" w16cid:durableId="194274691">
    <w:abstractNumId w:val="19"/>
  </w:num>
  <w:num w:numId="15" w16cid:durableId="1785922706">
    <w:abstractNumId w:val="14"/>
  </w:num>
  <w:num w:numId="16" w16cid:durableId="1592546730">
    <w:abstractNumId w:val="8"/>
  </w:num>
  <w:num w:numId="17" w16cid:durableId="1763791584">
    <w:abstractNumId w:val="5"/>
  </w:num>
  <w:num w:numId="18" w16cid:durableId="1488932124">
    <w:abstractNumId w:val="0"/>
  </w:num>
  <w:num w:numId="19" w16cid:durableId="929116277">
    <w:abstractNumId w:val="18"/>
  </w:num>
  <w:num w:numId="20" w16cid:durableId="1124154382">
    <w:abstractNumId w:val="21"/>
  </w:num>
  <w:num w:numId="21" w16cid:durableId="1827891869">
    <w:abstractNumId w:val="16"/>
  </w:num>
  <w:num w:numId="22" w16cid:durableId="241069178">
    <w:abstractNumId w:val="4"/>
  </w:num>
  <w:num w:numId="23" w16cid:durableId="823851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DD"/>
    <w:rsid w:val="000018C7"/>
    <w:rsid w:val="00022F0B"/>
    <w:rsid w:val="00041B97"/>
    <w:rsid w:val="000436A1"/>
    <w:rsid w:val="00055871"/>
    <w:rsid w:val="000571BA"/>
    <w:rsid w:val="000721F1"/>
    <w:rsid w:val="000A0149"/>
    <w:rsid w:val="000A3395"/>
    <w:rsid w:val="000B58E9"/>
    <w:rsid w:val="000C04E5"/>
    <w:rsid w:val="000D1843"/>
    <w:rsid w:val="000D76E4"/>
    <w:rsid w:val="00101E63"/>
    <w:rsid w:val="001144EF"/>
    <w:rsid w:val="001178F8"/>
    <w:rsid w:val="00131992"/>
    <w:rsid w:val="00132771"/>
    <w:rsid w:val="00144BE5"/>
    <w:rsid w:val="0015672F"/>
    <w:rsid w:val="00162D2A"/>
    <w:rsid w:val="00163B19"/>
    <w:rsid w:val="00177F30"/>
    <w:rsid w:val="00182B57"/>
    <w:rsid w:val="00183CB2"/>
    <w:rsid w:val="00194252"/>
    <w:rsid w:val="001B1BAD"/>
    <w:rsid w:val="001B72D3"/>
    <w:rsid w:val="001C24C5"/>
    <w:rsid w:val="001D2293"/>
    <w:rsid w:val="001E2C71"/>
    <w:rsid w:val="001E6F5F"/>
    <w:rsid w:val="001F5160"/>
    <w:rsid w:val="002114E7"/>
    <w:rsid w:val="0021700C"/>
    <w:rsid w:val="002170EC"/>
    <w:rsid w:val="00232F6B"/>
    <w:rsid w:val="002332AA"/>
    <w:rsid w:val="002468D7"/>
    <w:rsid w:val="00253504"/>
    <w:rsid w:val="00275E41"/>
    <w:rsid w:val="00277393"/>
    <w:rsid w:val="00291908"/>
    <w:rsid w:val="00296A7D"/>
    <w:rsid w:val="0029748C"/>
    <w:rsid w:val="002A47E9"/>
    <w:rsid w:val="002D0E3E"/>
    <w:rsid w:val="002D3CB2"/>
    <w:rsid w:val="002E08ED"/>
    <w:rsid w:val="002E5DA1"/>
    <w:rsid w:val="002E76CF"/>
    <w:rsid w:val="00300227"/>
    <w:rsid w:val="003043BF"/>
    <w:rsid w:val="0030629A"/>
    <w:rsid w:val="00310D88"/>
    <w:rsid w:val="00331118"/>
    <w:rsid w:val="00332760"/>
    <w:rsid w:val="00336198"/>
    <w:rsid w:val="00353EB1"/>
    <w:rsid w:val="003625A1"/>
    <w:rsid w:val="00393060"/>
    <w:rsid w:val="003A0C60"/>
    <w:rsid w:val="003A14F5"/>
    <w:rsid w:val="003A7BF9"/>
    <w:rsid w:val="003B4667"/>
    <w:rsid w:val="003D7FA8"/>
    <w:rsid w:val="003E0ABF"/>
    <w:rsid w:val="003E488C"/>
    <w:rsid w:val="0040245B"/>
    <w:rsid w:val="0041317D"/>
    <w:rsid w:val="00414079"/>
    <w:rsid w:val="00415C6E"/>
    <w:rsid w:val="0042251F"/>
    <w:rsid w:val="00424DCD"/>
    <w:rsid w:val="00425609"/>
    <w:rsid w:val="0042680B"/>
    <w:rsid w:val="00444B42"/>
    <w:rsid w:val="00447300"/>
    <w:rsid w:val="00450C59"/>
    <w:rsid w:val="0045506E"/>
    <w:rsid w:val="00472D27"/>
    <w:rsid w:val="00473A39"/>
    <w:rsid w:val="00485092"/>
    <w:rsid w:val="00496A22"/>
    <w:rsid w:val="004B16C8"/>
    <w:rsid w:val="004B5E2D"/>
    <w:rsid w:val="004D5B3D"/>
    <w:rsid w:val="004D5FEC"/>
    <w:rsid w:val="004F59CF"/>
    <w:rsid w:val="00510A59"/>
    <w:rsid w:val="0052087F"/>
    <w:rsid w:val="00551A27"/>
    <w:rsid w:val="00566036"/>
    <w:rsid w:val="005727FC"/>
    <w:rsid w:val="00585B11"/>
    <w:rsid w:val="005935C3"/>
    <w:rsid w:val="005A209B"/>
    <w:rsid w:val="005C0CB1"/>
    <w:rsid w:val="005C127B"/>
    <w:rsid w:val="005D2CF5"/>
    <w:rsid w:val="005D5609"/>
    <w:rsid w:val="005E1617"/>
    <w:rsid w:val="0060759A"/>
    <w:rsid w:val="006256FD"/>
    <w:rsid w:val="00641222"/>
    <w:rsid w:val="006414FE"/>
    <w:rsid w:val="006654DF"/>
    <w:rsid w:val="006836E7"/>
    <w:rsid w:val="00685205"/>
    <w:rsid w:val="006867CF"/>
    <w:rsid w:val="006901EF"/>
    <w:rsid w:val="00697175"/>
    <w:rsid w:val="006B0530"/>
    <w:rsid w:val="006B1762"/>
    <w:rsid w:val="006C213A"/>
    <w:rsid w:val="006D2EA4"/>
    <w:rsid w:val="006D65C4"/>
    <w:rsid w:val="006E244A"/>
    <w:rsid w:val="006E3154"/>
    <w:rsid w:val="006E5117"/>
    <w:rsid w:val="006F1DCB"/>
    <w:rsid w:val="00714C6C"/>
    <w:rsid w:val="00723EF5"/>
    <w:rsid w:val="00740D01"/>
    <w:rsid w:val="00747703"/>
    <w:rsid w:val="007527A3"/>
    <w:rsid w:val="00775757"/>
    <w:rsid w:val="00786B57"/>
    <w:rsid w:val="00794A89"/>
    <w:rsid w:val="00796FF3"/>
    <w:rsid w:val="007A6CD6"/>
    <w:rsid w:val="007A757E"/>
    <w:rsid w:val="007B4BB1"/>
    <w:rsid w:val="007C0F49"/>
    <w:rsid w:val="007C7F70"/>
    <w:rsid w:val="007F2D6B"/>
    <w:rsid w:val="007F5E69"/>
    <w:rsid w:val="007F6C41"/>
    <w:rsid w:val="00800BF5"/>
    <w:rsid w:val="00812218"/>
    <w:rsid w:val="00815161"/>
    <w:rsid w:val="008160A7"/>
    <w:rsid w:val="00824030"/>
    <w:rsid w:val="00824CA3"/>
    <w:rsid w:val="0083077D"/>
    <w:rsid w:val="008514C3"/>
    <w:rsid w:val="00853C3E"/>
    <w:rsid w:val="0085585B"/>
    <w:rsid w:val="00856C4E"/>
    <w:rsid w:val="008670A6"/>
    <w:rsid w:val="00873B3C"/>
    <w:rsid w:val="0087784F"/>
    <w:rsid w:val="0088132B"/>
    <w:rsid w:val="00885165"/>
    <w:rsid w:val="00886BD6"/>
    <w:rsid w:val="00892D5E"/>
    <w:rsid w:val="00893DC4"/>
    <w:rsid w:val="008B2980"/>
    <w:rsid w:val="008B6D11"/>
    <w:rsid w:val="008C5D52"/>
    <w:rsid w:val="008D0D50"/>
    <w:rsid w:val="008D31CA"/>
    <w:rsid w:val="008E6E73"/>
    <w:rsid w:val="008F43B5"/>
    <w:rsid w:val="009001F2"/>
    <w:rsid w:val="0091205B"/>
    <w:rsid w:val="0093544E"/>
    <w:rsid w:val="00935F8E"/>
    <w:rsid w:val="009374EE"/>
    <w:rsid w:val="00940088"/>
    <w:rsid w:val="00944DC9"/>
    <w:rsid w:val="00946BA2"/>
    <w:rsid w:val="00950945"/>
    <w:rsid w:val="009515E2"/>
    <w:rsid w:val="00952814"/>
    <w:rsid w:val="00960ECC"/>
    <w:rsid w:val="00964AF7"/>
    <w:rsid w:val="00965263"/>
    <w:rsid w:val="00965F58"/>
    <w:rsid w:val="00965FEE"/>
    <w:rsid w:val="0096637A"/>
    <w:rsid w:val="00981579"/>
    <w:rsid w:val="009A4A73"/>
    <w:rsid w:val="009A6D68"/>
    <w:rsid w:val="009C0EF7"/>
    <w:rsid w:val="009E02DD"/>
    <w:rsid w:val="009E1E4D"/>
    <w:rsid w:val="009E2622"/>
    <w:rsid w:val="009E417D"/>
    <w:rsid w:val="009E48F0"/>
    <w:rsid w:val="00A16D38"/>
    <w:rsid w:val="00A21026"/>
    <w:rsid w:val="00A46B4E"/>
    <w:rsid w:val="00A50B3E"/>
    <w:rsid w:val="00A663B2"/>
    <w:rsid w:val="00A80A58"/>
    <w:rsid w:val="00A81021"/>
    <w:rsid w:val="00A8146F"/>
    <w:rsid w:val="00A85B22"/>
    <w:rsid w:val="00A96B46"/>
    <w:rsid w:val="00AD3791"/>
    <w:rsid w:val="00AD6610"/>
    <w:rsid w:val="00AE5C3B"/>
    <w:rsid w:val="00B0626C"/>
    <w:rsid w:val="00B121D2"/>
    <w:rsid w:val="00B401D8"/>
    <w:rsid w:val="00B74532"/>
    <w:rsid w:val="00B92AB9"/>
    <w:rsid w:val="00B93792"/>
    <w:rsid w:val="00BA12ED"/>
    <w:rsid w:val="00BB3E4A"/>
    <w:rsid w:val="00BC28E6"/>
    <w:rsid w:val="00BD23D9"/>
    <w:rsid w:val="00BE6B35"/>
    <w:rsid w:val="00C10941"/>
    <w:rsid w:val="00C151E2"/>
    <w:rsid w:val="00C175D3"/>
    <w:rsid w:val="00C25536"/>
    <w:rsid w:val="00C31061"/>
    <w:rsid w:val="00C336FB"/>
    <w:rsid w:val="00C35E8A"/>
    <w:rsid w:val="00C47EB6"/>
    <w:rsid w:val="00C54C48"/>
    <w:rsid w:val="00C57D56"/>
    <w:rsid w:val="00C72363"/>
    <w:rsid w:val="00C727EB"/>
    <w:rsid w:val="00C74256"/>
    <w:rsid w:val="00C74355"/>
    <w:rsid w:val="00C75CC3"/>
    <w:rsid w:val="00C80F28"/>
    <w:rsid w:val="00C83203"/>
    <w:rsid w:val="00C91E76"/>
    <w:rsid w:val="00C97D94"/>
    <w:rsid w:val="00CA28E1"/>
    <w:rsid w:val="00CA2DF9"/>
    <w:rsid w:val="00CB4207"/>
    <w:rsid w:val="00CB62DA"/>
    <w:rsid w:val="00CB6A63"/>
    <w:rsid w:val="00CC4E60"/>
    <w:rsid w:val="00CD7B5E"/>
    <w:rsid w:val="00CF4DB2"/>
    <w:rsid w:val="00CF7574"/>
    <w:rsid w:val="00D02751"/>
    <w:rsid w:val="00D3143B"/>
    <w:rsid w:val="00D364D3"/>
    <w:rsid w:val="00D61F57"/>
    <w:rsid w:val="00D64265"/>
    <w:rsid w:val="00D647FF"/>
    <w:rsid w:val="00D80BC5"/>
    <w:rsid w:val="00D850FF"/>
    <w:rsid w:val="00D92BA7"/>
    <w:rsid w:val="00DA2ACF"/>
    <w:rsid w:val="00DB61C6"/>
    <w:rsid w:val="00DD5804"/>
    <w:rsid w:val="00DD75C5"/>
    <w:rsid w:val="00DE4CE7"/>
    <w:rsid w:val="00DF0F4D"/>
    <w:rsid w:val="00DF5F73"/>
    <w:rsid w:val="00E010CF"/>
    <w:rsid w:val="00E074C5"/>
    <w:rsid w:val="00E24AB1"/>
    <w:rsid w:val="00E24C70"/>
    <w:rsid w:val="00E26926"/>
    <w:rsid w:val="00E318D9"/>
    <w:rsid w:val="00E37186"/>
    <w:rsid w:val="00E47ECD"/>
    <w:rsid w:val="00E523C1"/>
    <w:rsid w:val="00E61D63"/>
    <w:rsid w:val="00E750D8"/>
    <w:rsid w:val="00E97AA8"/>
    <w:rsid w:val="00EB40C6"/>
    <w:rsid w:val="00EC0B4F"/>
    <w:rsid w:val="00ED6C28"/>
    <w:rsid w:val="00EE02A8"/>
    <w:rsid w:val="00EF65A3"/>
    <w:rsid w:val="00F200B9"/>
    <w:rsid w:val="00F31056"/>
    <w:rsid w:val="00F3140B"/>
    <w:rsid w:val="00F331FE"/>
    <w:rsid w:val="00F50537"/>
    <w:rsid w:val="00F535E4"/>
    <w:rsid w:val="00F578DC"/>
    <w:rsid w:val="00F678EB"/>
    <w:rsid w:val="00F7090B"/>
    <w:rsid w:val="00F81F6F"/>
    <w:rsid w:val="00F8678B"/>
    <w:rsid w:val="00F876B0"/>
    <w:rsid w:val="00FA07A6"/>
    <w:rsid w:val="00FC1F11"/>
    <w:rsid w:val="00FC60D6"/>
    <w:rsid w:val="00FC6F77"/>
    <w:rsid w:val="00FE1AFE"/>
    <w:rsid w:val="00FE2F39"/>
    <w:rsid w:val="00FE2FCE"/>
    <w:rsid w:val="00FE7C94"/>
    <w:rsid w:val="00FF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3E35"/>
  <w15:chartTrackingRefBased/>
  <w15:docId w15:val="{9E434D75-2932-4CB4-97B1-504F39DD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102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EF7"/>
    <w:pPr>
      <w:ind w:left="720"/>
      <w:contextualSpacing/>
    </w:pPr>
  </w:style>
  <w:style w:type="paragraph" w:styleId="NormalWeb">
    <w:name w:val="Normal (Web)"/>
    <w:basedOn w:val="Normal"/>
    <w:uiPriority w:val="99"/>
    <w:unhideWhenUsed/>
    <w:rsid w:val="005C0C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2102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A21026"/>
    <w:rPr>
      <w:color w:val="0000FF"/>
      <w:u w:val="single"/>
    </w:rPr>
  </w:style>
  <w:style w:type="paragraph" w:customStyle="1" w:styleId="Default">
    <w:name w:val="Default"/>
    <w:rsid w:val="002170E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C6F77"/>
    <w:rPr>
      <w:color w:val="605E5C"/>
      <w:shd w:val="clear" w:color="auto" w:fill="E1DFDD"/>
    </w:rPr>
  </w:style>
  <w:style w:type="character" w:styleId="FollowedHyperlink">
    <w:name w:val="FollowedHyperlink"/>
    <w:basedOn w:val="DefaultParagraphFont"/>
    <w:uiPriority w:val="99"/>
    <w:semiHidden/>
    <w:unhideWhenUsed/>
    <w:rsid w:val="00FC6F77"/>
    <w:rPr>
      <w:color w:val="954F72" w:themeColor="followedHyperlink"/>
      <w:u w:val="single"/>
    </w:rPr>
  </w:style>
  <w:style w:type="paragraph" w:styleId="NoSpacing">
    <w:name w:val="No Spacing"/>
    <w:uiPriority w:val="1"/>
    <w:qFormat/>
    <w:rsid w:val="00F81F6F"/>
    <w:pPr>
      <w:spacing w:after="0" w:line="240" w:lineRule="auto"/>
    </w:pPr>
  </w:style>
  <w:style w:type="table" w:styleId="TableGrid">
    <w:name w:val="Table Grid"/>
    <w:basedOn w:val="TableNormal"/>
    <w:rsid w:val="00B9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7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703"/>
  </w:style>
  <w:style w:type="paragraph" w:styleId="Footer">
    <w:name w:val="footer"/>
    <w:basedOn w:val="Normal"/>
    <w:link w:val="FooterChar"/>
    <w:uiPriority w:val="99"/>
    <w:unhideWhenUsed/>
    <w:rsid w:val="00747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703"/>
  </w:style>
  <w:style w:type="paragraph" w:styleId="Revision">
    <w:name w:val="Revision"/>
    <w:hidden/>
    <w:uiPriority w:val="99"/>
    <w:semiHidden/>
    <w:rsid w:val="00AD3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0581">
      <w:bodyDiv w:val="1"/>
      <w:marLeft w:val="0"/>
      <w:marRight w:val="0"/>
      <w:marTop w:val="0"/>
      <w:marBottom w:val="0"/>
      <w:divBdr>
        <w:top w:val="none" w:sz="0" w:space="0" w:color="auto"/>
        <w:left w:val="none" w:sz="0" w:space="0" w:color="auto"/>
        <w:bottom w:val="none" w:sz="0" w:space="0" w:color="auto"/>
        <w:right w:val="none" w:sz="0" w:space="0" w:color="auto"/>
      </w:divBdr>
    </w:div>
    <w:div w:id="862090207">
      <w:bodyDiv w:val="1"/>
      <w:marLeft w:val="0"/>
      <w:marRight w:val="0"/>
      <w:marTop w:val="0"/>
      <w:marBottom w:val="0"/>
      <w:divBdr>
        <w:top w:val="none" w:sz="0" w:space="0" w:color="auto"/>
        <w:left w:val="none" w:sz="0" w:space="0" w:color="auto"/>
        <w:bottom w:val="none" w:sz="0" w:space="0" w:color="auto"/>
        <w:right w:val="none" w:sz="0" w:space="0" w:color="auto"/>
      </w:divBdr>
    </w:div>
    <w:div w:id="978070118">
      <w:bodyDiv w:val="1"/>
      <w:marLeft w:val="0"/>
      <w:marRight w:val="0"/>
      <w:marTop w:val="0"/>
      <w:marBottom w:val="0"/>
      <w:divBdr>
        <w:top w:val="none" w:sz="0" w:space="0" w:color="auto"/>
        <w:left w:val="none" w:sz="0" w:space="0" w:color="auto"/>
        <w:bottom w:val="none" w:sz="0" w:space="0" w:color="auto"/>
        <w:right w:val="none" w:sz="0" w:space="0" w:color="auto"/>
      </w:divBdr>
    </w:div>
    <w:div w:id="1535657622">
      <w:bodyDiv w:val="1"/>
      <w:marLeft w:val="0"/>
      <w:marRight w:val="0"/>
      <w:marTop w:val="0"/>
      <w:marBottom w:val="0"/>
      <w:divBdr>
        <w:top w:val="none" w:sz="0" w:space="0" w:color="auto"/>
        <w:left w:val="none" w:sz="0" w:space="0" w:color="auto"/>
        <w:bottom w:val="none" w:sz="0" w:space="0" w:color="auto"/>
        <w:right w:val="none" w:sz="0" w:space="0" w:color="auto"/>
      </w:divBdr>
    </w:div>
    <w:div w:id="19413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ree-meals-in-further-education-guide/free-meals-in-further-education-funded-institutions-guide-academic-year-2025-to-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advice-funding-regulations-for-post-16-provision/advice-funding-rules-for-16-to-19-provision-2025-to-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ltham.ac.uk/contact/compliments-and-complaints" TargetMode="External"/><Relationship Id="rId5" Type="http://schemas.openxmlformats.org/officeDocument/2006/relationships/styles" Target="styles.xml"/><Relationship Id="rId15" Type="http://schemas.openxmlformats.org/officeDocument/2006/relationships/hyperlink" Target="https://www.gov.uk/government/publications/advanced-learner-loans-funding-and-performance-management-rules/advanced-learner-loans-funding-and-performance-management-rules-2025-to-2026"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adult-education-and-skills-funding-allocations-guidance/adult-education-and-skills-funding-allocations-update-for-2025-to-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164971-634d-4ceb-80af-692c7b05a99b" xsi:nil="true"/>
    <lcf76f155ced4ddcb4097134ff3c332f xmlns="a93779b1-d4e1-4c70-bfb8-8d7bc35bc9f0">
      <Terms xmlns="http://schemas.microsoft.com/office/infopath/2007/PartnerControls"/>
    </lcf76f155ced4ddcb4097134ff3c332f>
    <MediaLengthInSeconds xmlns="a93779b1-d4e1-4c70-bfb8-8d7bc35bc9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F52EB8256B748974D4136D94BA2DB" ma:contentTypeVersion="10" ma:contentTypeDescription="Create a new document." ma:contentTypeScope="" ma:versionID="cb12eb531637573c8d75421d63a3d81a">
  <xsd:schema xmlns:xsd="http://www.w3.org/2001/XMLSchema" xmlns:xs="http://www.w3.org/2001/XMLSchema" xmlns:p="http://schemas.microsoft.com/office/2006/metadata/properties" xmlns:ns2="a93779b1-d4e1-4c70-bfb8-8d7bc35bc9f0" xmlns:ns3="9c164971-634d-4ceb-80af-692c7b05a99b" targetNamespace="http://schemas.microsoft.com/office/2006/metadata/properties" ma:root="true" ma:fieldsID="40dbe1f99d15c6d245788203a48e6c01" ns2:_="" ns3:_="">
    <xsd:import namespace="a93779b1-d4e1-4c70-bfb8-8d7bc35bc9f0"/>
    <xsd:import namespace="9c164971-634d-4ceb-80af-692c7b05a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779b1-d4e1-4c70-bfb8-8d7bc35bc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a8f5c5-5976-4dcb-bf74-0c429e3395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64971-634d-4ceb-80af-692c7b05a9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66b748-a90f-4f3c-874f-2b57f7ad9c03}" ma:internalName="TaxCatchAll" ma:showField="CatchAllData" ma:web="9c164971-634d-4ceb-80af-692c7b05a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3C469-136D-4004-A721-4A4B6B51C7C5}">
  <ds:schemaRefs>
    <ds:schemaRef ds:uri="http://schemas.microsoft.com/office/2006/metadata/properties"/>
    <ds:schemaRef ds:uri="http://schemas.microsoft.com/office/infopath/2007/PartnerControls"/>
    <ds:schemaRef ds:uri="9c164971-634d-4ceb-80af-692c7b05a99b"/>
    <ds:schemaRef ds:uri="a93779b1-d4e1-4c70-bfb8-8d7bc35bc9f0"/>
  </ds:schemaRefs>
</ds:datastoreItem>
</file>

<file path=customXml/itemProps2.xml><?xml version="1.0" encoding="utf-8"?>
<ds:datastoreItem xmlns:ds="http://schemas.openxmlformats.org/officeDocument/2006/customXml" ds:itemID="{C3230B31-B239-4E03-A103-BEF876C34288}">
  <ds:schemaRefs>
    <ds:schemaRef ds:uri="http://schemas.microsoft.com/sharepoint/v3/contenttype/forms"/>
  </ds:schemaRefs>
</ds:datastoreItem>
</file>

<file path=customXml/itemProps3.xml><?xml version="1.0" encoding="utf-8"?>
<ds:datastoreItem xmlns:ds="http://schemas.openxmlformats.org/officeDocument/2006/customXml" ds:itemID="{26CFCE7E-7322-4DEB-970F-C136EA61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779b1-d4e1-4c70-bfb8-8d7bc35bc9f0"/>
    <ds:schemaRef ds:uri="9c164971-634d-4ceb-80af-692c7b05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Waltham Forest College</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Shiguftah Gulzar</dc:creator>
  <cp:keywords/>
  <dc:description/>
  <cp:lastModifiedBy>Amir Ahmed</cp:lastModifiedBy>
  <cp:revision>2</cp:revision>
  <cp:lastPrinted>2025-08-15T10:24:00Z</cp:lastPrinted>
  <dcterms:created xsi:type="dcterms:W3CDTF">2025-10-22T11:45:00Z</dcterms:created>
  <dcterms:modified xsi:type="dcterms:W3CDTF">2025-10-22T11:45:00Z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0x010100A81F52EB8256B748974D4136D94BA2DB</vt:lpwstr>
  </property>
  <property fmtid="{D5CDD505-2E9C-101B-9397-08002B2CF9AE}" pid="3" name="Order">
    <vt:r8>887800</vt:r8>
  </property>
  <property fmtid="{D5CDD505-2E9C-101B-9397-08002B2CF9AE}" pid="4" name="MSIP_Label_964506fe-af34-4b47-9d47-2b523dc3bc58_Enabled">
    <vt:lpwstr>True</vt:lpwstr>
  </property>
  <property fmtid="{D5CDD505-2E9C-101B-9397-08002B2CF9AE}" pid="5" name="MSIP_Label_964506fe-af34-4b47-9d47-2b523dc3bc58_SiteId">
    <vt:lpwstr>93be09f6-454c-4865-b6de-52bc320812fc</vt:lpwstr>
  </property>
  <property fmtid="{D5CDD505-2E9C-101B-9397-08002B2CF9AE}" pid="6" name="MSIP_Label_964506fe-af34-4b47-9d47-2b523dc3bc58_SetDate">
    <vt:lpwstr>2023-04-24T16:43:43Z</vt:lpwstr>
  </property>
  <property fmtid="{D5CDD505-2E9C-101B-9397-08002B2CF9AE}" pid="7" name="MSIP_Label_964506fe-af34-4b47-9d47-2b523dc3bc58_Name">
    <vt:lpwstr>Confidential</vt:lpwstr>
  </property>
  <property fmtid="{D5CDD505-2E9C-101B-9397-08002B2CF9AE}" pid="8" name="MSIP_Label_964506fe-af34-4b47-9d47-2b523dc3bc58_ActionId">
    <vt:lpwstr>43d121b9-7868-411d-a32b-e0bfd325156d</vt:lpwstr>
  </property>
  <property fmtid="{D5CDD505-2E9C-101B-9397-08002B2CF9AE}" pid="9" name="MSIP_Label_964506fe-af34-4b47-9d47-2b523dc3bc58_Removed">
    <vt:lpwstr>False</vt:lpwstr>
  </property>
  <property fmtid="{D5CDD505-2E9C-101B-9397-08002B2CF9AE}" pid="10" name="MSIP_Label_964506fe-af34-4b47-9d47-2b523dc3bc58_Extended_MSFT_Method">
    <vt:lpwstr>Standard</vt:lpwstr>
  </property>
  <property fmtid="{D5CDD505-2E9C-101B-9397-08002B2CF9AE}" pid="11" name="Sensitivity">
    <vt:lpwstr>Confidential</vt:lpwstr>
  </property>
  <property fmtid="{D5CDD505-2E9C-101B-9397-08002B2CF9AE}" pid="12" name="xd_ProgID">
    <vt:lpwstr/>
  </property>
  <property fmtid="{D5CDD505-2E9C-101B-9397-08002B2CF9AE}" pid="13" name="MediaServiceImageTags">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